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3.jpeg" ContentType="image/jpeg"/>
  <Override PartName="/word/media/image2.jpeg" ContentType="image/jpeg"/>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40" w:before="0" w:after="60"/>
        <w:ind w:left="0" w:right="0" w:hanging="0"/>
        <w:jc w:val="center"/>
        <w:rPr>
          <w:b/>
          <w:sz w:val="28"/>
          <w:lang w:val="es-AR"/>
        </w:rPr>
      </w:pPr>
      <w:r>
        <w:rPr>
          <w:b/>
          <w:sz w:val="28"/>
        </w:rPr>
        <w:tab/>
      </w:r>
      <w:r>
        <w:rPr>
          <w:b/>
          <w:sz w:val="28"/>
          <w:lang w:val="es-AR"/>
        </w:rPr>
        <w:t xml:space="preserve"> </w:t>
        <w:tab/>
        <w:drawing>
          <wp:anchor behindDoc="0" distT="0" distB="0" distL="114300" distR="114300" simplePos="0" locked="0" layoutInCell="1" allowOverlap="1" relativeHeight="0">
            <wp:simplePos x="0" y="0"/>
            <wp:positionH relativeFrom="margin">
              <wp:align>center</wp:align>
            </wp:positionH>
            <wp:positionV relativeFrom="margin">
              <wp:align>top</wp:align>
            </wp:positionV>
            <wp:extent cx="1698625" cy="603250"/>
            <wp:effectExtent l="0" t="0" r="0" b="0"/>
            <wp:wrapSquare wrapText="bothSides"/>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1698625" cy="603250"/>
                    </a:xfrm>
                    <a:prstGeom prst="rect">
                      <a:avLst/>
                    </a:prstGeom>
                    <a:noFill/>
                    <a:ln w="9525">
                      <a:noFill/>
                      <a:miter lim="800000"/>
                      <a:headEnd/>
                      <a:tailEnd/>
                    </a:ln>
                  </pic:spPr>
                </pic:pic>
              </a:graphicData>
            </a:graphic>
          </wp:anchor>
        </w:drawing>
        <w:drawing>
          <wp:anchor behindDoc="0" distT="0" distB="0" distL="114300" distR="114300" simplePos="0" locked="0" layoutInCell="1" allowOverlap="1" relativeHeight="2">
            <wp:simplePos x="0" y="0"/>
            <wp:positionH relativeFrom="page">
              <wp:align>right</wp:align>
            </wp:positionH>
            <wp:positionV relativeFrom="page">
              <wp:posOffset>152400</wp:posOffset>
            </wp:positionV>
            <wp:extent cx="2190115" cy="1114425"/>
            <wp:effectExtent l="0" t="0" r="0" b="0"/>
            <wp:wrapSquare wrapText="bothSides"/>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3"/>
                    <a:stretch>
                      <a:fillRect/>
                    </a:stretch>
                  </pic:blipFill>
                  <pic:spPr bwMode="auto">
                    <a:xfrm>
                      <a:off x="0" y="0"/>
                      <a:ext cx="2190115" cy="1114425"/>
                    </a:xfrm>
                    <a:prstGeom prst="rect">
                      <a:avLst/>
                    </a:prstGeom>
                    <a:noFill/>
                    <a:ln w="9525">
                      <a:noFill/>
                      <a:miter lim="800000"/>
                      <a:headEnd/>
                      <a:tailEnd/>
                    </a:ln>
                  </pic:spPr>
                </pic:pic>
              </a:graphicData>
            </a:graphic>
          </wp:anchor>
        </w:drawing>
      </w:r>
    </w:p>
    <w:p>
      <w:pPr>
        <w:pStyle w:val="Normal"/>
        <w:spacing w:lineRule="auto" w:line="240" w:before="0" w:after="60"/>
        <w:ind w:left="0" w:right="0" w:hanging="0"/>
        <w:jc w:val="center"/>
        <w:rPr>
          <w:b/>
          <w:sz w:val="28"/>
          <w:lang w:val="es-AR"/>
        </w:rPr>
      </w:pPr>
      <w:r>
        <w:rPr>
          <w:b/>
          <w:sz w:val="28"/>
          <w:lang w:val="es-AR"/>
        </w:rPr>
        <w:drawing>
          <wp:anchor behindDoc="0" distT="0" distB="0" distL="114300" distR="114300" simplePos="0" locked="0" layoutInCell="1" allowOverlap="1" relativeHeight="1">
            <wp:simplePos x="0" y="0"/>
            <wp:positionH relativeFrom="margin">
              <wp:posOffset>-161925</wp:posOffset>
            </wp:positionH>
            <wp:positionV relativeFrom="margin">
              <wp:posOffset>295275</wp:posOffset>
            </wp:positionV>
            <wp:extent cx="1485900" cy="461010"/>
            <wp:effectExtent l="0" t="0" r="0" b="0"/>
            <wp:wrapSquare wrapText="bothSides"/>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4"/>
                    <a:stretch>
                      <a:fillRect/>
                    </a:stretch>
                  </pic:blipFill>
                  <pic:spPr bwMode="auto">
                    <a:xfrm>
                      <a:off x="0" y="0"/>
                      <a:ext cx="1485900" cy="461010"/>
                    </a:xfrm>
                    <a:prstGeom prst="rect">
                      <a:avLst/>
                    </a:prstGeom>
                    <a:noFill/>
                    <a:ln w="9525">
                      <a:noFill/>
                      <a:miter lim="800000"/>
                      <a:headEnd/>
                      <a:tailEnd/>
                    </a:ln>
                  </pic:spPr>
                </pic:pic>
              </a:graphicData>
            </a:graphic>
          </wp:anchor>
        </w:drawing>
      </w:r>
    </w:p>
    <w:p>
      <w:pPr>
        <w:pStyle w:val="Normal"/>
        <w:spacing w:lineRule="auto" w:line="240" w:before="0" w:after="60"/>
        <w:ind w:left="0" w:right="0" w:hanging="0"/>
        <w:jc w:val="center"/>
        <w:rPr>
          <w:b/>
          <w:sz w:val="28"/>
          <w:lang w:val="es-AR"/>
        </w:rPr>
      </w:pPr>
      <w:r>
        <w:rPr>
          <w:b/>
          <w:sz w:val="28"/>
          <w:lang w:val="es-AR"/>
        </w:rPr>
      </w:r>
    </w:p>
    <w:p>
      <w:pPr>
        <w:pStyle w:val="Normal"/>
        <w:spacing w:lineRule="auto" w:line="240" w:before="0" w:after="60"/>
        <w:ind w:left="0" w:right="0" w:hanging="0"/>
        <w:jc w:val="center"/>
        <w:rPr>
          <w:b/>
          <w:sz w:val="28"/>
          <w:lang w:val="es-AR"/>
        </w:rPr>
      </w:pPr>
      <w:r>
        <w:rPr>
          <w:b/>
          <w:sz w:val="28"/>
          <w:lang w:val="es-AR"/>
        </w:rPr>
      </w:r>
    </w:p>
    <w:p>
      <w:pPr>
        <w:pStyle w:val="Normal"/>
        <w:spacing w:lineRule="auto" w:line="240" w:before="0" w:after="60"/>
        <w:ind w:left="720" w:right="0" w:firstLine="720"/>
        <w:jc w:val="center"/>
        <w:rPr>
          <w:b/>
          <w:sz w:val="28"/>
          <w:lang w:val="es-AR"/>
        </w:rPr>
      </w:pPr>
      <w:bookmarkStart w:id="0" w:name="_GoBack"/>
      <w:bookmarkEnd w:id="0"/>
      <w:r>
        <w:rPr>
          <w:b/>
          <w:sz w:val="28"/>
          <w:lang w:val="es-AR"/>
        </w:rPr>
        <w:t>REGLAMENTO</w:t>
      </w:r>
    </w:p>
    <w:p>
      <w:pPr>
        <w:pStyle w:val="Normal"/>
        <w:spacing w:lineRule="auto" w:line="240"/>
        <w:ind w:left="10" w:right="-15" w:hanging="0"/>
        <w:jc w:val="center"/>
        <w:rPr>
          <w:b/>
          <w:sz w:val="28"/>
          <w:lang w:val="es-AR"/>
        </w:rPr>
      </w:pPr>
      <w:r>
        <w:rPr>
          <w:b/>
          <w:sz w:val="28"/>
          <w:lang w:val="es-AR"/>
        </w:rPr>
        <w:t>BECAS DE DOCTORADO</w:t>
      </w:r>
    </w:p>
    <w:p>
      <w:pPr>
        <w:pStyle w:val="Normal"/>
        <w:spacing w:lineRule="auto" w:line="240"/>
        <w:ind w:left="10" w:right="-15" w:hanging="10"/>
        <w:jc w:val="center"/>
        <w:rPr>
          <w:b/>
          <w:sz w:val="24"/>
          <w:lang w:val="es-AR"/>
        </w:rPr>
      </w:pPr>
      <w:r>
        <w:rPr>
          <w:b/>
          <w:sz w:val="28"/>
          <w:lang w:val="es-AR"/>
        </w:rPr>
        <w:t xml:space="preserve"> </w:t>
      </w:r>
      <w:r>
        <w:rPr>
          <w:b/>
          <w:sz w:val="28"/>
          <w:lang w:val="es-AR"/>
        </w:rPr>
        <w:t xml:space="preserve">FULBRIGHT – FUNDACIÓN BUNGE Y BORN </w:t>
      </w:r>
      <w:r>
        <w:rPr>
          <w:b/>
          <w:sz w:val="24"/>
          <w:lang w:val="es-AR"/>
        </w:rPr>
        <w:t xml:space="preserve"> </w:t>
      </w:r>
    </w:p>
    <w:tbl>
      <w:tblPr>
        <w:jc w:val="left"/>
        <w:tblInd w:w="0" w:type="dxa"/>
        <w:tblBorders>
          <w:top w:val="nil"/>
          <w:left w:val="nil"/>
          <w:bottom w:val="nil"/>
          <w:insideH w:val="nil"/>
          <w:right w:val="nil"/>
          <w:insideV w:val="nil"/>
        </w:tblBorders>
        <w:tblCellMar>
          <w:top w:w="0" w:type="dxa"/>
          <w:left w:w="108" w:type="dxa"/>
          <w:bottom w:w="0" w:type="dxa"/>
          <w:right w:w="108" w:type="dxa"/>
        </w:tblCellMar>
      </w:tblPr>
      <w:tblGrid>
        <w:gridCol w:w="1275"/>
        <w:gridCol w:w="7672"/>
      </w:tblGrid>
      <w:tr>
        <w:trPr>
          <w:trHeight w:val="301" w:hRule="atLeast"/>
          <w:cantSplit w:val="false"/>
        </w:trPr>
        <w:tc>
          <w:tcPr>
            <w:tcW w:w="1275" w:type="dxa"/>
            <w:tcBorders>
              <w:top w:val="nil"/>
              <w:left w:val="nil"/>
              <w:bottom w:val="nil"/>
              <w:insideH w:val="nil"/>
              <w:right w:val="nil"/>
              <w:insideV w:val="nil"/>
            </w:tcBorders>
            <w:shd w:fill="auto" w:val="clear"/>
          </w:tcPr>
          <w:p>
            <w:pPr>
              <w:pStyle w:val="Normal"/>
              <w:spacing w:lineRule="auto" w:line="276" w:before="0" w:after="0"/>
              <w:ind w:left="1" w:right="0" w:hanging="0"/>
              <w:jc w:val="left"/>
              <w:rPr>
                <w:sz w:val="24"/>
                <w:lang w:val="es-AR"/>
              </w:rPr>
            </w:pPr>
            <w:r>
              <w:rPr>
                <w:sz w:val="24"/>
                <w:lang w:val="es-AR"/>
              </w:rPr>
              <w:t xml:space="preserve"> </w:t>
            </w:r>
          </w:p>
        </w:tc>
        <w:tc>
          <w:tcPr>
            <w:tcW w:w="7672" w:type="dxa"/>
            <w:tcBorders>
              <w:top w:val="nil"/>
              <w:left w:val="nil"/>
              <w:bottom w:val="nil"/>
              <w:insideH w:val="nil"/>
              <w:right w:val="nil"/>
              <w:insideV w:val="nil"/>
            </w:tcBorders>
            <w:shd w:fill="auto" w:val="clear"/>
          </w:tcPr>
          <w:p>
            <w:pPr>
              <w:pStyle w:val="Normal"/>
              <w:spacing w:lineRule="auto" w:line="276" w:before="0" w:after="0"/>
              <w:ind w:left="0" w:right="0" w:hanging="0"/>
              <w:jc w:val="left"/>
              <w:rPr>
                <w:lang w:val="es-AR"/>
              </w:rPr>
            </w:pPr>
            <w:r>
              <w:rPr>
                <w:lang w:val="es-AR"/>
              </w:rPr>
            </w:r>
          </w:p>
        </w:tc>
      </w:tr>
      <w:tr>
        <w:trPr>
          <w:trHeight w:val="1519" w:hRule="atLeast"/>
          <w:cantSplit w:val="false"/>
        </w:trPr>
        <w:tc>
          <w:tcPr>
            <w:tcW w:w="1275" w:type="dxa"/>
            <w:tcBorders>
              <w:top w:val="nil"/>
              <w:left w:val="nil"/>
              <w:bottom w:val="nil"/>
              <w:insideH w:val="nil"/>
              <w:right w:val="nil"/>
              <w:insideV w:val="nil"/>
            </w:tcBorders>
            <w:shd w:fill="auto" w:val="clear"/>
          </w:tcPr>
          <w:p>
            <w:pPr>
              <w:pStyle w:val="Normal"/>
              <w:spacing w:lineRule="auto" w:line="240" w:before="0" w:after="955"/>
              <w:ind w:left="1" w:right="0" w:hanging="0"/>
              <w:jc w:val="left"/>
              <w:rPr/>
            </w:pPr>
            <w:r>
              <w:rPr/>
              <w:t xml:space="preserve">Artículo 1:  </w:t>
            </w:r>
          </w:p>
          <w:p>
            <w:pPr>
              <w:pStyle w:val="Normal"/>
              <w:spacing w:lineRule="auto" w:line="276" w:before="0" w:after="0"/>
              <w:ind w:left="1" w:right="0" w:hanging="0"/>
              <w:jc w:val="left"/>
              <w:rPr/>
            </w:pPr>
            <w:r>
              <w:rPr/>
              <w:t xml:space="preserve"> </w:t>
            </w:r>
          </w:p>
        </w:tc>
        <w:tc>
          <w:tcPr>
            <w:tcW w:w="7672" w:type="dxa"/>
            <w:tcBorders>
              <w:top w:val="nil"/>
              <w:left w:val="nil"/>
              <w:bottom w:val="nil"/>
              <w:insideH w:val="nil"/>
              <w:right w:val="nil"/>
              <w:insideV w:val="nil"/>
            </w:tcBorders>
            <w:shd w:fill="auto" w:val="clear"/>
          </w:tcPr>
          <w:p>
            <w:pPr>
              <w:pStyle w:val="Normal"/>
              <w:spacing w:lineRule="auto" w:line="276" w:before="0" w:after="0"/>
              <w:ind w:left="143" w:right="0" w:hanging="0"/>
              <w:rPr>
                <w:lang w:val="es-AR"/>
              </w:rPr>
            </w:pPr>
            <w:r>
              <w:rPr>
                <w:lang w:val="es-AR"/>
              </w:rPr>
              <w:t xml:space="preserve">Las becas Fulbright–Fundación Bunge y Born – Fundación Williams están destinadas a investigadores jóvenes con el objetivo de que puedan completar sus trabajos de doctorado en  universidades o centros de investigación de Estados Unidos, </w:t>
            </w:r>
            <w:r>
              <w:rPr>
                <w:b/>
                <w:lang w:val="es-AR"/>
              </w:rPr>
              <w:t>con el compromiso de finalizar y presentar su tesis doctoral, preferentemente en un lapso de hasta 18 meses a partir de su regreso a la Argentina.</w:t>
            </w:r>
            <w:r>
              <w:rPr>
                <w:lang w:val="es-AR"/>
              </w:rPr>
              <w:t xml:space="preserve">  </w:t>
            </w:r>
          </w:p>
        </w:tc>
      </w:tr>
      <w:tr>
        <w:trPr>
          <w:trHeight w:val="1011" w:hRule="atLeast"/>
          <w:cantSplit w:val="false"/>
        </w:trPr>
        <w:tc>
          <w:tcPr>
            <w:tcW w:w="1275" w:type="dxa"/>
            <w:tcBorders>
              <w:top w:val="nil"/>
              <w:left w:val="nil"/>
              <w:bottom w:val="nil"/>
              <w:insideH w:val="nil"/>
              <w:right w:val="nil"/>
              <w:insideV w:val="nil"/>
            </w:tcBorders>
            <w:shd w:fill="auto" w:val="clear"/>
          </w:tcPr>
          <w:p>
            <w:pPr>
              <w:pStyle w:val="Normal"/>
              <w:spacing w:lineRule="auto" w:line="240" w:before="0" w:after="449"/>
              <w:ind w:left="1" w:right="0" w:hanging="0"/>
              <w:jc w:val="left"/>
              <w:rPr/>
            </w:pPr>
            <w:r>
              <w:rPr/>
              <w:t xml:space="preserve">Articulo 2: </w:t>
            </w:r>
          </w:p>
          <w:p>
            <w:pPr>
              <w:pStyle w:val="Normal"/>
              <w:spacing w:lineRule="auto" w:line="276" w:before="0" w:after="0"/>
              <w:ind w:left="1" w:right="0" w:hanging="0"/>
              <w:jc w:val="left"/>
              <w:rPr/>
            </w:pPr>
            <w:r>
              <w:rPr/>
              <w:t xml:space="preserve"> </w:t>
            </w:r>
          </w:p>
        </w:tc>
        <w:tc>
          <w:tcPr>
            <w:tcW w:w="7672" w:type="dxa"/>
            <w:tcBorders>
              <w:top w:val="nil"/>
              <w:left w:val="nil"/>
              <w:bottom w:val="nil"/>
              <w:insideH w:val="nil"/>
              <w:right w:val="nil"/>
              <w:insideV w:val="nil"/>
            </w:tcBorders>
            <w:shd w:fill="auto" w:val="clear"/>
          </w:tcPr>
          <w:p>
            <w:pPr>
              <w:pStyle w:val="Normal"/>
              <w:spacing w:lineRule="auto" w:line="276" w:before="0" w:after="0"/>
              <w:ind w:left="143" w:right="55" w:hanging="0"/>
              <w:rPr>
                <w:lang w:val="es-AR"/>
              </w:rPr>
            </w:pPr>
            <w:r>
              <w:rPr>
                <w:lang w:val="es-AR"/>
              </w:rPr>
              <w:t xml:space="preserve">Están comprendidas en el concurso las disciplinas científicas que se listan en </w:t>
            </w:r>
            <w:r>
              <w:rPr>
                <w:b/>
                <w:lang w:val="es-AR"/>
              </w:rPr>
              <w:t>Application Instructions</w:t>
            </w:r>
            <w:r>
              <w:rPr>
                <w:lang w:val="es-AR"/>
              </w:rPr>
              <w:t xml:space="preserve">, </w:t>
            </w:r>
            <w:r>
              <w:rPr>
                <w:b/>
                <w:lang w:val="es-AR"/>
              </w:rPr>
              <w:t xml:space="preserve">SECTION B, Item 2.  </w:t>
            </w:r>
            <w:r>
              <w:rPr>
                <w:b/>
                <w:i/>
                <w:lang w:val="es-AR"/>
              </w:rPr>
              <w:t>Major Academic</w:t>
            </w:r>
            <w:r>
              <w:rPr>
                <w:b/>
                <w:lang w:val="es-AR"/>
              </w:rPr>
              <w:t xml:space="preserve"> </w:t>
            </w:r>
            <w:r>
              <w:rPr>
                <w:b/>
                <w:i/>
                <w:lang w:val="es-AR"/>
              </w:rPr>
              <w:t>Discipline</w:t>
            </w:r>
            <w:r>
              <w:rPr>
                <w:i/>
                <w:lang w:val="es-AR"/>
              </w:rPr>
              <w:t xml:space="preserve">, </w:t>
            </w:r>
            <w:r>
              <w:rPr>
                <w:lang w:val="es-AR"/>
              </w:rPr>
              <w:t xml:space="preserve">que están incluidas dentro de las ciencias básicas o experimentales.  </w:t>
            </w:r>
          </w:p>
        </w:tc>
      </w:tr>
      <w:tr>
        <w:trPr>
          <w:trHeight w:val="1265" w:hRule="atLeast"/>
          <w:cantSplit w:val="false"/>
        </w:trPr>
        <w:tc>
          <w:tcPr>
            <w:tcW w:w="1275" w:type="dxa"/>
            <w:tcBorders>
              <w:top w:val="nil"/>
              <w:left w:val="nil"/>
              <w:bottom w:val="nil"/>
              <w:insideH w:val="nil"/>
              <w:right w:val="nil"/>
              <w:insideV w:val="nil"/>
            </w:tcBorders>
            <w:shd w:fill="auto" w:val="clear"/>
          </w:tcPr>
          <w:p>
            <w:pPr>
              <w:pStyle w:val="Normal"/>
              <w:spacing w:lineRule="auto" w:line="240" w:before="0" w:after="703"/>
              <w:ind w:left="1" w:right="0" w:hanging="0"/>
              <w:jc w:val="left"/>
              <w:rPr/>
            </w:pPr>
            <w:r>
              <w:rPr/>
              <w:t xml:space="preserve">Artículo 3:  </w:t>
            </w:r>
          </w:p>
          <w:p>
            <w:pPr>
              <w:pStyle w:val="Normal"/>
              <w:spacing w:lineRule="auto" w:line="276" w:before="0" w:after="0"/>
              <w:ind w:left="1" w:right="0" w:hanging="0"/>
              <w:jc w:val="left"/>
              <w:rPr/>
            </w:pPr>
            <w:r>
              <w:rPr/>
              <w:t xml:space="preserve"> </w:t>
            </w:r>
          </w:p>
        </w:tc>
        <w:tc>
          <w:tcPr>
            <w:tcW w:w="7672" w:type="dxa"/>
            <w:tcBorders>
              <w:top w:val="nil"/>
              <w:left w:val="nil"/>
              <w:bottom w:val="nil"/>
              <w:insideH w:val="nil"/>
              <w:right w:val="nil"/>
              <w:insideV w:val="nil"/>
            </w:tcBorders>
            <w:shd w:fill="auto" w:val="clear"/>
          </w:tcPr>
          <w:p>
            <w:pPr>
              <w:pStyle w:val="Normal"/>
              <w:spacing w:lineRule="auto" w:line="276" w:before="0" w:after="0"/>
              <w:ind w:left="143" w:right="0" w:hanging="0"/>
              <w:rPr>
                <w:lang w:val="es-AR"/>
              </w:rPr>
            </w:pPr>
            <w:r>
              <w:rPr>
                <w:lang w:val="es-AR"/>
              </w:rPr>
              <w:t>La administración de las becas será responsabilidad de la Comisión Fulbright y la  evaluación y selección de los ganadores estará a cargo de un comité de selección integrado por especialistas y por representantes de la Comisión Fulbright, de la Fundación Bunge y Born y de la Fundación Williams.</w:t>
            </w:r>
          </w:p>
        </w:tc>
      </w:tr>
      <w:tr>
        <w:trPr>
          <w:trHeight w:val="1518" w:hRule="atLeast"/>
          <w:cantSplit w:val="false"/>
        </w:trPr>
        <w:tc>
          <w:tcPr>
            <w:tcW w:w="1275" w:type="dxa"/>
            <w:tcBorders>
              <w:top w:val="nil"/>
              <w:left w:val="nil"/>
              <w:bottom w:val="nil"/>
              <w:insideH w:val="nil"/>
              <w:right w:val="nil"/>
              <w:insideV w:val="nil"/>
            </w:tcBorders>
            <w:shd w:fill="auto" w:val="clear"/>
          </w:tcPr>
          <w:p>
            <w:pPr>
              <w:pStyle w:val="Normal"/>
              <w:spacing w:lineRule="auto" w:line="240" w:before="0" w:after="955"/>
              <w:ind w:left="1" w:right="0" w:hanging="0"/>
              <w:jc w:val="left"/>
              <w:rPr/>
            </w:pPr>
            <w:r>
              <w:rPr/>
              <w:t xml:space="preserve">Artículo 4: </w:t>
            </w:r>
          </w:p>
          <w:p>
            <w:pPr>
              <w:pStyle w:val="Normal"/>
              <w:spacing w:lineRule="auto" w:line="276" w:before="0" w:after="0"/>
              <w:ind w:left="0" w:right="0" w:hanging="0"/>
              <w:jc w:val="left"/>
              <w:rPr/>
            </w:pPr>
            <w:r>
              <w:rPr/>
              <w:t xml:space="preserve"> </w:t>
            </w:r>
          </w:p>
        </w:tc>
        <w:tc>
          <w:tcPr>
            <w:tcW w:w="7672" w:type="dxa"/>
            <w:tcBorders>
              <w:top w:val="nil"/>
              <w:left w:val="nil"/>
              <w:bottom w:val="nil"/>
              <w:insideH w:val="nil"/>
              <w:right w:val="nil"/>
              <w:insideV w:val="nil"/>
            </w:tcBorders>
            <w:shd w:fill="auto" w:val="clear"/>
          </w:tcPr>
          <w:p>
            <w:pPr>
              <w:pStyle w:val="Normal"/>
              <w:spacing w:lineRule="auto" w:line="276" w:before="0" w:after="0"/>
              <w:ind w:left="142" w:right="55" w:firstLine="1"/>
              <w:rPr>
                <w:lang w:val="es-AR"/>
              </w:rPr>
            </w:pPr>
            <w:r>
              <w:rPr>
                <w:lang w:val="es-AR"/>
              </w:rPr>
              <w:t xml:space="preserve">Cada beca se otorgará por única vez y comprenderá un pasaje de ida y vuelta al lugar de destino (en clase económica), un estipendio para mantenimiento y seguro de salud. Tendrá una duración de tres meses. Podrá hacerse efectiva entre mayo de 2018 y abril de 2019, sin excepción. En esta convocatoria se otorgará un máximo de ocho (8) becas. </w:t>
            </w:r>
          </w:p>
        </w:tc>
      </w:tr>
      <w:tr>
        <w:trPr>
          <w:trHeight w:val="276" w:hRule="atLeast"/>
          <w:cantSplit w:val="false"/>
        </w:trPr>
        <w:tc>
          <w:tcPr>
            <w:tcW w:w="1275" w:type="dxa"/>
            <w:tcBorders>
              <w:top w:val="nil"/>
              <w:left w:val="nil"/>
              <w:bottom w:val="nil"/>
              <w:insideH w:val="nil"/>
              <w:right w:val="nil"/>
              <w:insideV w:val="nil"/>
            </w:tcBorders>
            <w:shd w:fill="auto" w:val="clear"/>
          </w:tcPr>
          <w:p>
            <w:pPr>
              <w:pStyle w:val="Normal"/>
              <w:spacing w:lineRule="auto" w:line="276" w:before="0" w:after="0"/>
              <w:ind w:left="0" w:right="0" w:hanging="0"/>
              <w:jc w:val="left"/>
              <w:rPr/>
            </w:pPr>
            <w:r>
              <w:rPr/>
              <w:t xml:space="preserve">Artículo 5: </w:t>
            </w:r>
          </w:p>
        </w:tc>
        <w:tc>
          <w:tcPr>
            <w:tcW w:w="7672" w:type="dxa"/>
            <w:tcBorders>
              <w:top w:val="nil"/>
              <w:left w:val="nil"/>
              <w:bottom w:val="nil"/>
              <w:insideH w:val="nil"/>
              <w:right w:val="nil"/>
              <w:insideV w:val="nil"/>
            </w:tcBorders>
            <w:shd w:fill="auto" w:val="clear"/>
          </w:tcPr>
          <w:p>
            <w:pPr>
              <w:pStyle w:val="Normal"/>
              <w:spacing w:lineRule="auto" w:line="276" w:before="0" w:after="0"/>
              <w:ind w:left="142" w:right="0" w:hanging="0"/>
              <w:jc w:val="left"/>
              <w:rPr>
                <w:lang w:val="es-AR"/>
              </w:rPr>
            </w:pPr>
            <w:r>
              <w:rPr>
                <w:lang w:val="es-AR"/>
              </w:rPr>
              <w:t xml:space="preserve">Los postulantes deberán reunir los siguientes requisitos: </w:t>
            </w:r>
          </w:p>
        </w:tc>
      </w:tr>
    </w:tbl>
    <w:p>
      <w:pPr>
        <w:pStyle w:val="Normal"/>
        <w:spacing w:lineRule="auto" w:line="240"/>
        <w:ind w:left="0" w:right="0" w:hanging="0"/>
        <w:jc w:val="left"/>
        <w:rPr>
          <w:lang w:val="es-AR"/>
        </w:rPr>
      </w:pPr>
      <w:r>
        <w:rPr>
          <w:lang w:val="es-AR"/>
        </w:rPr>
        <w:t xml:space="preserve"> </w:t>
      </w:r>
    </w:p>
    <w:p>
      <w:pPr>
        <w:pStyle w:val="Normal"/>
        <w:numPr>
          <w:ilvl w:val="0"/>
          <w:numId w:val="1"/>
        </w:numPr>
        <w:ind w:left="1633" w:right="0" w:hanging="360"/>
        <w:rPr>
          <w:lang w:val="es-AR"/>
        </w:rPr>
      </w:pPr>
      <w:r>
        <w:rPr>
          <w:lang w:val="es-AR"/>
        </w:rPr>
        <w:t xml:space="preserve">ser argentino/a nativo/a con residencia en el país.  </w:t>
      </w:r>
    </w:p>
    <w:p>
      <w:pPr>
        <w:pStyle w:val="Normal"/>
        <w:numPr>
          <w:ilvl w:val="0"/>
          <w:numId w:val="1"/>
        </w:numPr>
        <w:ind w:left="1633" w:right="0" w:hanging="360"/>
        <w:rPr>
          <w:lang w:val="es-AR"/>
        </w:rPr>
      </w:pPr>
      <w:r>
        <w:rPr>
          <w:lang w:val="es-AR"/>
        </w:rPr>
        <w:t xml:space="preserve">tener hasta 40 años a la fecha de cierre del concurso. </w:t>
      </w:r>
    </w:p>
    <w:p>
      <w:pPr>
        <w:pStyle w:val="Normal"/>
        <w:numPr>
          <w:ilvl w:val="0"/>
          <w:numId w:val="1"/>
        </w:numPr>
        <w:ind w:left="1633" w:right="0" w:hanging="360"/>
        <w:rPr>
          <w:lang w:val="es-AR"/>
        </w:rPr>
      </w:pPr>
      <w:r>
        <w:rPr>
          <w:lang w:val="es-AR"/>
        </w:rPr>
        <w:t xml:space="preserve">poseer título universitario de grado. </w:t>
      </w:r>
    </w:p>
    <w:p>
      <w:pPr>
        <w:pStyle w:val="Normal"/>
        <w:numPr>
          <w:ilvl w:val="0"/>
          <w:numId w:val="1"/>
        </w:numPr>
        <w:ind w:left="1633" w:right="0" w:hanging="360"/>
        <w:rPr>
          <w:lang w:val="es-AR"/>
        </w:rPr>
      </w:pPr>
      <w:r>
        <w:rPr>
          <w:lang w:val="es-AR"/>
        </w:rPr>
        <w:t xml:space="preserve">presentar la síntesis del proyecto de investigación que desarrollará en Estados Unidos. </w:t>
      </w:r>
    </w:p>
    <w:p>
      <w:pPr>
        <w:pStyle w:val="Normal"/>
        <w:numPr>
          <w:ilvl w:val="0"/>
          <w:numId w:val="1"/>
        </w:numPr>
        <w:ind w:left="1633" w:right="0" w:hanging="360"/>
        <w:rPr>
          <w:lang w:val="es-AR"/>
        </w:rPr>
      </w:pPr>
      <w:r>
        <w:rPr>
          <w:lang w:val="es-AR"/>
        </w:rPr>
        <w:t xml:space="preserve">tener tesis doctoral avanzada y cursos de doctorado aprobados, la cual podrá ser defendida en un plazo razonable, idealmente de 12 a 18 meses posteriores al regreso de la estadía en Estados Unidos. </w:t>
      </w:r>
    </w:p>
    <w:p>
      <w:pPr>
        <w:pStyle w:val="Normal"/>
        <w:numPr>
          <w:ilvl w:val="0"/>
          <w:numId w:val="1"/>
        </w:numPr>
        <w:ind w:left="1633" w:right="0" w:hanging="360"/>
        <w:rPr>
          <w:lang w:val="es-AR"/>
        </w:rPr>
      </w:pPr>
      <w:r>
        <w:rPr>
          <w:lang w:val="es-AR"/>
        </w:rPr>
        <w:t xml:space="preserve">presentar carta del director de tesis, quien deberá completar todos los puntos de la guía correspondiente. </w:t>
      </w:r>
    </w:p>
    <w:p>
      <w:pPr>
        <w:pStyle w:val="Normal"/>
        <w:numPr>
          <w:ilvl w:val="0"/>
          <w:numId w:val="1"/>
        </w:numPr>
        <w:ind w:left="1633" w:right="0" w:hanging="360"/>
        <w:rPr>
          <w:lang w:val="es-AR"/>
        </w:rPr>
      </w:pPr>
      <w:r>
        <w:rPr>
          <w:lang w:val="es-AR"/>
        </w:rPr>
        <w:t xml:space="preserve">completar la documentación (publicada en las páginas web de las instituciones auspiciantes con la información curricular requerida. </w:t>
      </w:r>
    </w:p>
    <w:p>
      <w:pPr>
        <w:pStyle w:val="Normal"/>
        <w:numPr>
          <w:ilvl w:val="0"/>
          <w:numId w:val="1"/>
        </w:numPr>
        <w:ind w:left="1633" w:right="0" w:hanging="360"/>
        <w:rPr>
          <w:lang w:val="es-AR"/>
        </w:rPr>
      </w:pPr>
      <w:r>
        <w:rPr>
          <w:lang w:val="es-AR"/>
        </w:rPr>
        <w:t xml:space="preserve">Siguiendo las instrucciones de las instituciones auspiciantes, acreditar  su conocimiento del idioma inglés, que deberá ser equivalente a un TOEFL de 580 puntos. </w:t>
      </w:r>
    </w:p>
    <w:p>
      <w:pPr>
        <w:pStyle w:val="Normal"/>
        <w:numPr>
          <w:ilvl w:val="0"/>
          <w:numId w:val="1"/>
        </w:numPr>
        <w:ind w:left="1633" w:right="0" w:hanging="360"/>
        <w:rPr>
          <w:lang w:val="es-AR"/>
        </w:rPr>
      </w:pPr>
      <w:r>
        <w:rPr>
          <w:lang w:val="es-AR"/>
        </w:rPr>
        <w:t xml:space="preserve">presentar carta de un responsable de la institución estadounidense anfitriona donde realizará la investigación propuesta, indicando que se le facilitarán los recursos disponibles para llevarla a cabo.  </w:t>
      </w:r>
    </w:p>
    <w:p>
      <w:pPr>
        <w:pStyle w:val="Normal"/>
        <w:spacing w:lineRule="auto" w:line="240"/>
        <w:ind w:left="0" w:right="0" w:hanging="0"/>
        <w:jc w:val="left"/>
        <w:rPr>
          <w:lang w:val="es-AR"/>
        </w:rPr>
      </w:pPr>
      <w:r>
        <w:rPr>
          <w:lang w:val="es-AR"/>
        </w:rPr>
        <w:t xml:space="preserve"> </w:t>
      </w:r>
    </w:p>
    <w:p>
      <w:pPr>
        <w:pStyle w:val="Normal"/>
        <w:ind w:left="0" w:right="0" w:hanging="0"/>
        <w:rPr>
          <w:lang w:val="es-AR"/>
        </w:rPr>
      </w:pPr>
      <w:r>
        <w:rPr>
          <w:lang w:val="es-AR"/>
        </w:rPr>
        <w:t xml:space="preserve">Artículo 6: </w:t>
        <w:tab/>
        <w:t xml:space="preserve">Obligaciones de los becarios: </w:t>
      </w:r>
    </w:p>
    <w:p>
      <w:pPr>
        <w:pStyle w:val="Normal"/>
        <w:spacing w:lineRule="auto" w:line="240"/>
        <w:ind w:left="0" w:right="0" w:hanging="0"/>
        <w:jc w:val="left"/>
        <w:rPr>
          <w:lang w:val="es-AR"/>
        </w:rPr>
      </w:pPr>
      <w:r>
        <w:rPr>
          <w:lang w:val="es-AR"/>
        </w:rPr>
        <w:t xml:space="preserve"> </w:t>
      </w:r>
    </w:p>
    <w:p>
      <w:pPr>
        <w:pStyle w:val="Normal"/>
        <w:numPr>
          <w:ilvl w:val="0"/>
          <w:numId w:val="2"/>
        </w:numPr>
        <w:spacing w:before="0" w:after="428"/>
        <w:ind w:left="1633" w:right="0" w:hanging="360"/>
        <w:rPr>
          <w:lang w:val="es-AR"/>
        </w:rPr>
      </w:pPr>
      <w:r>
        <w:rPr>
          <w:lang w:val="es-AR"/>
        </w:rPr>
        <w:t xml:space="preserve">firmar el formulario de inscripción, adhiriendo en conformidad con el reglamento del concurso y asumiendo el compromiso de su cumplimiento. </w:t>
      </w:r>
    </w:p>
    <w:p>
      <w:pPr>
        <w:pStyle w:val="Normal"/>
        <w:spacing w:lineRule="auto" w:line="240"/>
        <w:ind w:left="2" w:right="0" w:hanging="0"/>
        <w:jc w:val="left"/>
        <w:rPr>
          <w:sz w:val="20"/>
          <w:lang w:val="es-AR"/>
        </w:rPr>
      </w:pPr>
      <w:r>
        <w:rPr>
          <w:sz w:val="20"/>
          <w:lang w:val="es-AR"/>
        </w:rPr>
        <w:t xml:space="preserve"> </w:t>
      </w:r>
      <w:r>
        <w:rPr>
          <w:sz w:val="20"/>
          <w:lang w:val="es-AR"/>
        </w:rPr>
        <w:tab/>
      </w:r>
    </w:p>
    <w:p>
      <w:pPr>
        <w:pStyle w:val="Normal"/>
        <w:numPr>
          <w:ilvl w:val="0"/>
          <w:numId w:val="2"/>
        </w:numPr>
        <w:ind w:left="1633" w:right="0" w:hanging="360"/>
        <w:rPr>
          <w:lang w:val="es-AR"/>
        </w:rPr>
      </w:pPr>
      <w:r>
        <w:rPr>
          <w:lang w:val="es-AR"/>
        </w:rPr>
        <w:t xml:space="preserve">realizar la investigación prevista según el proyecto presentado y con dedicación exclusiva. </w:t>
      </w:r>
    </w:p>
    <w:p>
      <w:pPr>
        <w:pStyle w:val="Normal"/>
        <w:numPr>
          <w:ilvl w:val="0"/>
          <w:numId w:val="2"/>
        </w:numPr>
        <w:ind w:left="1633" w:right="0" w:hanging="360"/>
        <w:rPr>
          <w:lang w:val="es-AR"/>
        </w:rPr>
      </w:pPr>
      <w:r>
        <w:rPr>
          <w:lang w:val="es-AR"/>
        </w:rPr>
        <w:t xml:space="preserve">en caso de plantearse alguna modificación en el proyecto aprobado, previo a su partida o durante su permanencia en Estados Unidos, presentar al comité de selección una carta, explicando los motivos de la misma, con el aval del director de tesis y de la institución que la/lo recibe en Estados Unidos. </w:t>
      </w:r>
    </w:p>
    <w:p>
      <w:pPr>
        <w:pStyle w:val="Normal"/>
        <w:numPr>
          <w:ilvl w:val="0"/>
          <w:numId w:val="2"/>
        </w:numPr>
        <w:ind w:left="1633" w:right="0" w:hanging="360"/>
        <w:rPr>
          <w:lang w:val="es-AR"/>
        </w:rPr>
      </w:pPr>
      <w:r>
        <w:rPr>
          <w:lang w:val="es-AR"/>
        </w:rPr>
        <w:t xml:space="preserve">presentar a su regreso al país un informe (de hasta tres páginas) sobre la investigación desarrollada y una carta del responsable de la institución anfitriona, en la que indique si fueron cumplidos los objetivos planteados en su proyecto. </w:t>
      </w:r>
    </w:p>
    <w:p>
      <w:pPr>
        <w:pStyle w:val="Normal"/>
        <w:numPr>
          <w:ilvl w:val="0"/>
          <w:numId w:val="2"/>
        </w:numPr>
        <w:ind w:left="1633" w:right="0" w:hanging="360"/>
        <w:rPr>
          <w:lang w:val="es-AR"/>
        </w:rPr>
      </w:pPr>
      <w:r>
        <w:rPr>
          <w:lang w:val="es-AR"/>
        </w:rPr>
        <w:t xml:space="preserve">comunicar a ambas instituciones, en forma anual, sobre el avance de su proyecto de investigación hasta la defensa final de su tesis de doctorado. Proceder de la misma forma ante cualquier circunstancia personal o profesional que pudiera demorar su doctorado o modificar de manera sustancial su carrera de investigación.  </w:t>
      </w:r>
    </w:p>
    <w:p>
      <w:pPr>
        <w:pStyle w:val="Normal"/>
        <w:numPr>
          <w:ilvl w:val="0"/>
          <w:numId w:val="2"/>
        </w:numPr>
        <w:ind w:left="1633" w:right="0" w:hanging="360"/>
        <w:rPr>
          <w:lang w:val="es-AR"/>
        </w:rPr>
      </w:pPr>
      <w:r>
        <w:rPr>
          <w:lang w:val="es-AR"/>
        </w:rPr>
        <w:t xml:space="preserve">mencionar, en caso de publicar un trabajo acerca de su proyecto, el apoyo de la Beca Fulbright-Fundación Bunge y Born,-Fundación Williams, remitiendo una copia a cada institución patrocinante. </w:t>
      </w:r>
    </w:p>
    <w:p>
      <w:pPr>
        <w:pStyle w:val="Normal"/>
        <w:numPr>
          <w:ilvl w:val="0"/>
          <w:numId w:val="2"/>
        </w:numPr>
        <w:ind w:left="1633" w:right="0" w:hanging="360"/>
        <w:rPr>
          <w:lang w:val="es-AR"/>
        </w:rPr>
      </w:pPr>
      <w:r>
        <w:rPr>
          <w:lang w:val="es-AR"/>
        </w:rPr>
        <w:t xml:space="preserve">Responder las encuestas de las organizaciones auspiciantes a realizarse a los tres y cinco años posteriores a su doctorado. </w:t>
      </w:r>
    </w:p>
    <w:p>
      <w:pPr>
        <w:pStyle w:val="Normal"/>
        <w:spacing w:lineRule="auto" w:line="240"/>
        <w:ind w:left="2147" w:right="0" w:hanging="0"/>
        <w:jc w:val="left"/>
        <w:rPr>
          <w:lang w:val="es-AR"/>
        </w:rPr>
      </w:pPr>
      <w:r>
        <w:rPr>
          <w:lang w:val="es-AR"/>
        </w:rPr>
        <w:t xml:space="preserve"> </w:t>
      </w:r>
    </w:p>
    <w:p>
      <w:pPr>
        <w:pStyle w:val="Normal"/>
        <w:ind w:left="1" w:right="0" w:hanging="0"/>
        <w:rPr/>
      </w:pPr>
      <w:r>
        <w:rPr/>
        <w:t xml:space="preserve">Artículo 7: </w:t>
        <w:tab/>
        <w:t xml:space="preserve">Desarrollo del concurso: </w:t>
      </w:r>
    </w:p>
    <w:p>
      <w:pPr>
        <w:pStyle w:val="Normal"/>
        <w:spacing w:lineRule="auto" w:line="240"/>
        <w:ind w:left="1" w:right="0" w:hanging="0"/>
        <w:jc w:val="left"/>
        <w:rPr/>
      </w:pPr>
      <w:r>
        <w:rPr/>
        <w:t xml:space="preserve"> </w:t>
      </w:r>
    </w:p>
    <w:p>
      <w:pPr>
        <w:pStyle w:val="Normal"/>
        <w:numPr>
          <w:ilvl w:val="0"/>
          <w:numId w:val="3"/>
        </w:numPr>
        <w:spacing w:lineRule="auto" w:line="240"/>
        <w:ind w:left="1633" w:right="0" w:hanging="360"/>
        <w:rPr>
          <w:lang w:val="es-AR"/>
        </w:rPr>
      </w:pPr>
      <w:r>
        <w:rPr>
          <w:lang w:val="es-AR"/>
        </w:rPr>
        <w:t xml:space="preserve">El </w:t>
      </w:r>
      <w:r>
        <w:rPr>
          <w:b/>
          <w:lang w:val="es-AR"/>
        </w:rPr>
        <w:t>cierre del concurso público será el 22 de septiembre de 2017.</w:t>
      </w:r>
      <w:r>
        <w:rPr>
          <w:lang w:val="es-AR"/>
        </w:rPr>
        <w:t xml:space="preserve">   </w:t>
      </w:r>
    </w:p>
    <w:p>
      <w:pPr>
        <w:pStyle w:val="Normal"/>
        <w:numPr>
          <w:ilvl w:val="0"/>
          <w:numId w:val="3"/>
        </w:numPr>
        <w:ind w:left="1633" w:right="0" w:hanging="360"/>
        <w:rPr>
          <w:lang w:val="es-AR"/>
        </w:rPr>
      </w:pPr>
      <w:r>
        <w:rPr>
          <w:lang w:val="es-AR"/>
        </w:rPr>
        <w:t xml:space="preserve">Por consultas podrán dirigirse a </w:t>
      </w:r>
      <w:r>
        <w:rPr>
          <w:u w:val="single" w:color="000000"/>
          <w:lang w:val="es-AR"/>
        </w:rPr>
        <w:t>info@fulbright.com.ar</w:t>
      </w:r>
      <w:r>
        <w:rPr>
          <w:lang w:val="es-AR"/>
        </w:rPr>
        <w:t xml:space="preserve">.  </w:t>
      </w:r>
    </w:p>
    <w:p>
      <w:pPr>
        <w:pStyle w:val="Normal"/>
        <w:numPr>
          <w:ilvl w:val="0"/>
          <w:numId w:val="3"/>
        </w:numPr>
        <w:ind w:left="1633" w:right="0" w:hanging="360"/>
        <w:rPr>
          <w:lang w:val="es-AR"/>
        </w:rPr>
      </w:pPr>
      <w:r>
        <w:rPr>
          <w:lang w:val="es-AR"/>
        </w:rPr>
        <w:t xml:space="preserve">Finalizado el proceso de selección, se informará en la última semana de noviembre de 2017 el nombre de los candidatos que han sido elegidos, quienes serán nominados definitivamente luego de la aprobación del Directorio de la Comisión Fulbright, en Estados Unidos, cuyo resultado se conocerá a fines de marzo de 2018.  </w:t>
      </w:r>
    </w:p>
    <w:p>
      <w:pPr>
        <w:pStyle w:val="Normal"/>
        <w:spacing w:lineRule="auto" w:line="276"/>
        <w:ind w:left="1428" w:right="0" w:hanging="0"/>
        <w:jc w:val="left"/>
        <w:rPr>
          <w:lang w:val="es-AR"/>
        </w:rPr>
      </w:pPr>
      <w:r>
        <w:rPr>
          <w:lang w:val="es-AR"/>
        </w:rPr>
        <w:t xml:space="preserve"> </w:t>
      </w:r>
    </w:p>
    <w:tbl>
      <w:tblPr>
        <w:jc w:val="left"/>
        <w:tblInd w:w="3" w:type="dxa"/>
        <w:tblBorders>
          <w:top w:val="nil"/>
          <w:left w:val="nil"/>
          <w:bottom w:val="nil"/>
          <w:insideH w:val="nil"/>
          <w:right w:val="nil"/>
          <w:insideV w:val="nil"/>
        </w:tblBorders>
        <w:tblCellMar>
          <w:top w:w="0" w:type="dxa"/>
          <w:left w:w="108" w:type="dxa"/>
          <w:bottom w:w="0" w:type="dxa"/>
          <w:right w:w="108" w:type="dxa"/>
        </w:tblCellMar>
      </w:tblPr>
      <w:tblGrid>
        <w:gridCol w:w="1275"/>
        <w:gridCol w:w="7619"/>
      </w:tblGrid>
      <w:tr>
        <w:trPr>
          <w:trHeight w:val="5034" w:hRule="atLeast"/>
          <w:cantSplit w:val="false"/>
        </w:trPr>
        <w:tc>
          <w:tcPr>
            <w:tcW w:w="1275" w:type="dxa"/>
            <w:tcBorders>
              <w:top w:val="nil"/>
              <w:left w:val="nil"/>
              <w:bottom w:val="nil"/>
              <w:insideH w:val="nil"/>
              <w:right w:val="nil"/>
              <w:insideV w:val="nil"/>
            </w:tcBorders>
            <w:shd w:fill="auto" w:val="clear"/>
          </w:tcPr>
          <w:p>
            <w:pPr>
              <w:pStyle w:val="Normal"/>
              <w:spacing w:lineRule="auto" w:line="240" w:before="0" w:after="703"/>
              <w:ind w:left="0" w:right="0" w:hanging="0"/>
              <w:jc w:val="left"/>
              <w:rPr/>
            </w:pPr>
            <w:r>
              <w:rPr/>
              <w:t xml:space="preserve">Artículo 8: </w:t>
            </w:r>
          </w:p>
          <w:p>
            <w:pPr>
              <w:pStyle w:val="Normal"/>
              <w:spacing w:lineRule="auto" w:line="240" w:before="0" w:after="0"/>
              <w:ind w:left="0" w:right="0" w:hanging="0"/>
              <w:jc w:val="left"/>
              <w:rPr/>
            </w:pPr>
            <w:r>
              <w:rPr/>
              <w:t xml:space="preserve"> </w:t>
            </w:r>
          </w:p>
          <w:p>
            <w:pPr>
              <w:pStyle w:val="Normal"/>
              <w:spacing w:lineRule="auto" w:line="240" w:before="0" w:after="703"/>
              <w:ind w:left="0" w:right="0" w:hanging="0"/>
              <w:jc w:val="left"/>
              <w:rPr/>
            </w:pPr>
            <w:r>
              <w:rPr/>
              <w:t xml:space="preserve">Artículo 9: </w:t>
            </w:r>
          </w:p>
          <w:p>
            <w:pPr>
              <w:pStyle w:val="Normal"/>
              <w:spacing w:lineRule="auto" w:line="240" w:before="0" w:after="0"/>
              <w:ind w:left="0" w:right="0" w:hanging="0"/>
              <w:jc w:val="left"/>
              <w:rPr/>
            </w:pPr>
            <w:r>
              <w:rPr/>
              <w:t xml:space="preserve"> </w:t>
            </w:r>
          </w:p>
          <w:p>
            <w:pPr>
              <w:pStyle w:val="Normal"/>
              <w:spacing w:lineRule="auto" w:line="240" w:before="0" w:after="0"/>
              <w:ind w:left="0" w:right="0" w:hanging="0"/>
              <w:jc w:val="left"/>
              <w:rPr/>
            </w:pPr>
            <w:r>
              <w:rPr/>
              <w:t xml:space="preserve"> </w:t>
            </w:r>
          </w:p>
          <w:p>
            <w:pPr>
              <w:pStyle w:val="Normal"/>
              <w:spacing w:lineRule="auto" w:line="240" w:before="0" w:after="0"/>
              <w:ind w:left="0" w:right="0" w:hanging="0"/>
              <w:jc w:val="left"/>
              <w:rPr/>
            </w:pPr>
            <w:r>
              <w:rPr/>
              <w:t xml:space="preserve"> </w:t>
            </w:r>
          </w:p>
          <w:p>
            <w:pPr>
              <w:pStyle w:val="Normal"/>
              <w:spacing w:lineRule="auto" w:line="240" w:before="0" w:after="0"/>
              <w:ind w:left="0" w:right="0" w:hanging="0"/>
              <w:jc w:val="left"/>
              <w:rPr/>
            </w:pPr>
            <w:r>
              <w:rPr/>
              <w:t xml:space="preserve"> </w:t>
            </w:r>
          </w:p>
          <w:p>
            <w:pPr>
              <w:pStyle w:val="Normal"/>
              <w:spacing w:lineRule="auto" w:line="276" w:before="0" w:after="0"/>
              <w:ind w:left="0" w:right="0" w:hanging="0"/>
              <w:jc w:val="left"/>
              <w:rPr/>
            </w:pPr>
            <w:r>
              <w:rPr/>
              <w:t xml:space="preserve"> </w:t>
            </w:r>
          </w:p>
        </w:tc>
        <w:tc>
          <w:tcPr>
            <w:tcW w:w="7619" w:type="dxa"/>
            <w:tcBorders>
              <w:top w:val="nil"/>
              <w:left w:val="nil"/>
              <w:bottom w:val="nil"/>
              <w:insideH w:val="nil"/>
              <w:right w:val="nil"/>
              <w:insideV w:val="nil"/>
            </w:tcBorders>
            <w:shd w:fill="auto" w:val="clear"/>
          </w:tcPr>
          <w:p>
            <w:pPr>
              <w:pStyle w:val="Normal"/>
              <w:spacing w:lineRule="auto" w:line="232" w:before="0" w:after="197"/>
              <w:ind w:left="142" w:right="0" w:hanging="0"/>
              <w:rPr>
                <w:lang w:val="es-AR"/>
              </w:rPr>
            </w:pPr>
            <w:r>
              <w:rPr>
                <w:lang w:val="es-AR"/>
              </w:rPr>
              <w:t xml:space="preserve">El incumplimiento de los compromisos contraídos por los becarios de acuerdo con este reglamento, permitirá a la Comisión Fulbright, a la  Fundación Bunge y Born y a la Fundación Williams reservarse el derecho a proceder como estimen oportuno, incluso a exigir la devolución del importe de la beca.   </w:t>
            </w:r>
          </w:p>
          <w:p>
            <w:pPr>
              <w:pStyle w:val="Normal"/>
              <w:spacing w:lineRule="auto" w:line="276" w:before="0" w:after="0"/>
              <w:ind w:left="142" w:right="1" w:hanging="0"/>
              <w:rPr>
                <w:lang w:val="es-AR"/>
              </w:rPr>
            </w:pPr>
            <w:r>
              <w:rPr>
                <w:lang w:val="es-AR"/>
              </w:rPr>
              <w:t xml:space="preserve">Toda circunstancia no prevista en este reglamento será resuelta por el comité de selección, la Comisión Fulbright, la Fundación Bunge y Born y la Fundación Williams, cuyas decisiones a este respecto, así como las relacionadas con la interpretación de este documento, serán definitivas e inapelables. </w:t>
            </w:r>
          </w:p>
        </w:tc>
      </w:tr>
      <w:tr>
        <w:trPr>
          <w:trHeight w:val="1720" w:hRule="atLeast"/>
          <w:cantSplit w:val="false"/>
        </w:trPr>
        <w:tc>
          <w:tcPr>
            <w:tcW w:w="1275" w:type="dxa"/>
            <w:tcBorders>
              <w:top w:val="nil"/>
              <w:left w:val="nil"/>
              <w:bottom w:val="nil"/>
              <w:insideH w:val="nil"/>
              <w:right w:val="nil"/>
              <w:insideV w:val="nil"/>
            </w:tcBorders>
            <w:shd w:fill="auto" w:val="clear"/>
            <w:vAlign w:val="bottom"/>
          </w:tcPr>
          <w:p>
            <w:pPr>
              <w:pStyle w:val="Normal"/>
              <w:spacing w:lineRule="auto" w:line="276" w:before="0" w:after="0"/>
              <w:ind w:left="0" w:right="0" w:hanging="0"/>
              <w:jc w:val="left"/>
              <w:rPr>
                <w:sz w:val="20"/>
                <w:lang w:val="es-AR"/>
              </w:rPr>
            </w:pPr>
            <w:r>
              <w:rPr>
                <w:sz w:val="20"/>
                <w:lang w:val="es-AR"/>
              </w:rPr>
              <w:t xml:space="preserve"> </w:t>
            </w:r>
          </w:p>
        </w:tc>
        <w:tc>
          <w:tcPr>
            <w:tcW w:w="7619" w:type="dxa"/>
            <w:tcBorders>
              <w:top w:val="nil"/>
              <w:left w:val="nil"/>
              <w:bottom w:val="nil"/>
              <w:insideH w:val="nil"/>
              <w:right w:val="nil"/>
              <w:insideV w:val="nil"/>
            </w:tcBorders>
            <w:shd w:fill="auto" w:val="clear"/>
            <w:vAlign w:val="bottom"/>
          </w:tcPr>
          <w:p>
            <w:pPr>
              <w:pStyle w:val="Normal"/>
              <w:spacing w:lineRule="auto" w:line="276" w:before="0" w:after="0"/>
              <w:ind w:left="3092" w:right="0" w:hanging="0"/>
              <w:jc w:val="left"/>
              <w:rPr>
                <w:sz w:val="20"/>
              </w:rPr>
            </w:pPr>
            <w:r>
              <w:rPr>
                <w:sz w:val="20"/>
              </w:rPr>
              <w:t xml:space="preserve">2 </w:t>
            </w:r>
          </w:p>
        </w:tc>
      </w:tr>
    </w:tbl>
    <w:p>
      <w:pPr>
        <w:pStyle w:val="Normal"/>
        <w:rPr/>
      </w:pPr>
      <w:r>
        <w:rPr/>
      </w:r>
    </w:p>
    <w:sectPr>
      <w:type w:val="nextPage"/>
      <w:pgSz w:w="12240" w:h="15840"/>
      <w:pgMar w:left="1700" w:right="1695" w:header="0" w:top="478" w:footer="0" w:bottom="707"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1623" w:hanging="360"/>
      </w:pPr>
      <w:rPr>
        <w:color w:val="000000"/>
        <w:dstrike w:val="false"/>
        <w:strike w:val="false"/>
        <w:vertAlign w:val="baseline"/>
        <w:position w:val="0"/>
        <w:sz w:val="22"/>
        <w:sz w:val="22"/>
        <w:i w:val="false"/>
        <w:u w:val="none" w:color="000000"/>
        <w:b w:val="false"/>
        <w:shd w:fill="FFFFFF" w:val="clear"/>
      </w:rPr>
    </w:lvl>
    <w:lvl w:ilvl="1">
      <w:start w:val="1"/>
      <w:numFmt w:val="lowerLetter"/>
      <w:lvlText w:val="%2"/>
      <w:lvlJc w:val="left"/>
      <w:pPr>
        <w:ind w:left="2343" w:hanging="360"/>
      </w:pPr>
      <w:rPr>
        <w:color w:val="000000"/>
        <w:dstrike w:val="false"/>
        <w:strike w:val="false"/>
        <w:vertAlign w:val="baseline"/>
        <w:position w:val="0"/>
        <w:sz w:val="22"/>
        <w:sz w:val="22"/>
        <w:i w:val="false"/>
        <w:u w:val="none" w:color="000000"/>
        <w:b w:val="false"/>
        <w:shd w:fill="FFFFFF" w:val="clear"/>
      </w:rPr>
    </w:lvl>
    <w:lvl w:ilvl="2">
      <w:start w:val="1"/>
      <w:numFmt w:val="lowerRoman"/>
      <w:lvlText w:val="%3"/>
      <w:lvlJc w:val="left"/>
      <w:pPr>
        <w:ind w:left="3063" w:hanging="360"/>
      </w:pPr>
      <w:rPr>
        <w:color w:val="000000"/>
        <w:dstrike w:val="false"/>
        <w:strike w:val="false"/>
        <w:vertAlign w:val="baseline"/>
        <w:position w:val="0"/>
        <w:sz w:val="22"/>
        <w:sz w:val="22"/>
        <w:i w:val="false"/>
        <w:u w:val="none" w:color="000000"/>
        <w:b w:val="false"/>
        <w:shd w:fill="FFFFFF" w:val="clear"/>
      </w:rPr>
    </w:lvl>
    <w:lvl w:ilvl="3">
      <w:start w:val="1"/>
      <w:numFmt w:val="decimal"/>
      <w:lvlText w:val="%4"/>
      <w:lvlJc w:val="left"/>
      <w:pPr>
        <w:ind w:left="3783" w:hanging="360"/>
      </w:pPr>
      <w:rPr>
        <w:color w:val="000000"/>
        <w:dstrike w:val="false"/>
        <w:strike w:val="false"/>
        <w:vertAlign w:val="baseline"/>
        <w:position w:val="0"/>
        <w:sz w:val="22"/>
        <w:sz w:val="22"/>
        <w:i w:val="false"/>
        <w:u w:val="none" w:color="000000"/>
        <w:b w:val="false"/>
        <w:shd w:fill="FFFFFF" w:val="clear"/>
      </w:rPr>
    </w:lvl>
    <w:lvl w:ilvl="4">
      <w:start w:val="1"/>
      <w:numFmt w:val="lowerLetter"/>
      <w:lvlText w:val="%5"/>
      <w:lvlJc w:val="left"/>
      <w:pPr>
        <w:ind w:left="4503" w:hanging="360"/>
      </w:pPr>
      <w:rPr>
        <w:color w:val="000000"/>
        <w:dstrike w:val="false"/>
        <w:strike w:val="false"/>
        <w:vertAlign w:val="baseline"/>
        <w:position w:val="0"/>
        <w:sz w:val="22"/>
        <w:sz w:val="22"/>
        <w:i w:val="false"/>
        <w:u w:val="none" w:color="000000"/>
        <w:b w:val="false"/>
        <w:shd w:fill="FFFFFF" w:val="clear"/>
      </w:rPr>
    </w:lvl>
    <w:lvl w:ilvl="5">
      <w:start w:val="1"/>
      <w:numFmt w:val="lowerRoman"/>
      <w:lvlText w:val="%6"/>
      <w:lvlJc w:val="left"/>
      <w:pPr>
        <w:ind w:left="5223" w:hanging="360"/>
      </w:pPr>
      <w:rPr>
        <w:color w:val="000000"/>
        <w:dstrike w:val="false"/>
        <w:strike w:val="false"/>
        <w:vertAlign w:val="baseline"/>
        <w:position w:val="0"/>
        <w:sz w:val="22"/>
        <w:sz w:val="22"/>
        <w:i w:val="false"/>
        <w:u w:val="none" w:color="000000"/>
        <w:b w:val="false"/>
        <w:shd w:fill="FFFFFF" w:val="clear"/>
      </w:rPr>
    </w:lvl>
    <w:lvl w:ilvl="6">
      <w:start w:val="1"/>
      <w:numFmt w:val="decimal"/>
      <w:lvlText w:val="%7"/>
      <w:lvlJc w:val="left"/>
      <w:pPr>
        <w:ind w:left="5943" w:hanging="360"/>
      </w:pPr>
      <w:rPr>
        <w:color w:val="000000"/>
        <w:dstrike w:val="false"/>
        <w:strike w:val="false"/>
        <w:vertAlign w:val="baseline"/>
        <w:position w:val="0"/>
        <w:sz w:val="22"/>
        <w:sz w:val="22"/>
        <w:i w:val="false"/>
        <w:u w:val="none" w:color="000000"/>
        <w:b w:val="false"/>
        <w:shd w:fill="FFFFFF" w:val="clear"/>
      </w:rPr>
    </w:lvl>
    <w:lvl w:ilvl="7">
      <w:start w:val="1"/>
      <w:numFmt w:val="lowerLetter"/>
      <w:lvlText w:val="%8"/>
      <w:lvlJc w:val="left"/>
      <w:pPr>
        <w:ind w:left="6663" w:hanging="360"/>
      </w:pPr>
      <w:rPr>
        <w:color w:val="000000"/>
        <w:dstrike w:val="false"/>
        <w:strike w:val="false"/>
        <w:vertAlign w:val="baseline"/>
        <w:position w:val="0"/>
        <w:sz w:val="22"/>
        <w:sz w:val="22"/>
        <w:i w:val="false"/>
        <w:u w:val="none" w:color="000000"/>
        <w:b w:val="false"/>
        <w:shd w:fill="FFFFFF" w:val="clear"/>
      </w:rPr>
    </w:lvl>
    <w:lvl w:ilvl="8">
      <w:start w:val="1"/>
      <w:numFmt w:val="lowerRoman"/>
      <w:lvlText w:val="%9"/>
      <w:lvlJc w:val="left"/>
      <w:pPr>
        <w:ind w:left="7383" w:hanging="360"/>
      </w:pPr>
      <w:rPr>
        <w:color w:val="000000"/>
        <w:dstrike w:val="false"/>
        <w:strike w:val="false"/>
        <w:vertAlign w:val="baseline"/>
        <w:position w:val="0"/>
        <w:sz w:val="22"/>
        <w:sz w:val="22"/>
        <w:i w:val="false"/>
        <w:u w:val="none" w:color="000000"/>
        <w:b w:val="false"/>
        <w:shd w:fill="FFFFFF" w:val="clear"/>
      </w:rPr>
    </w:lvl>
  </w:abstractNum>
  <w:abstractNum w:abstractNumId="2">
    <w:lvl w:ilvl="0">
      <w:start w:val="1"/>
      <w:numFmt w:val="lowerLetter"/>
      <w:lvlText w:val="%1)"/>
      <w:lvlJc w:val="left"/>
      <w:pPr>
        <w:ind w:left="1787" w:hanging="360"/>
      </w:pPr>
      <w:rPr>
        <w:color w:val="000000"/>
        <w:dstrike w:val="false"/>
        <w:strike w:val="false"/>
        <w:vertAlign w:val="baseline"/>
        <w:position w:val="0"/>
        <w:sz w:val="22"/>
        <w:sz w:val="22"/>
        <w:i w:val="false"/>
        <w:u w:val="none" w:color="000000"/>
        <w:b w:val="false"/>
        <w:shd w:fill="FFFFFF" w:val="clear"/>
      </w:rPr>
    </w:lvl>
    <w:lvl w:ilvl="1">
      <w:start w:val="1"/>
      <w:numFmt w:val="lowerLetter"/>
      <w:lvlText w:val="%2"/>
      <w:lvlJc w:val="left"/>
      <w:pPr>
        <w:ind w:left="2507" w:hanging="360"/>
      </w:pPr>
      <w:rPr>
        <w:color w:val="000000"/>
        <w:dstrike w:val="false"/>
        <w:strike w:val="false"/>
        <w:vertAlign w:val="baseline"/>
        <w:position w:val="0"/>
        <w:sz w:val="22"/>
        <w:sz w:val="22"/>
        <w:i w:val="false"/>
        <w:u w:val="none" w:color="000000"/>
        <w:b w:val="false"/>
        <w:shd w:fill="FFFFFF" w:val="clear"/>
      </w:rPr>
    </w:lvl>
    <w:lvl w:ilvl="2">
      <w:start w:val="1"/>
      <w:numFmt w:val="lowerRoman"/>
      <w:lvlText w:val="%3"/>
      <w:lvlJc w:val="left"/>
      <w:pPr>
        <w:ind w:left="3227" w:hanging="360"/>
      </w:pPr>
      <w:rPr>
        <w:color w:val="000000"/>
        <w:dstrike w:val="false"/>
        <w:strike w:val="false"/>
        <w:vertAlign w:val="baseline"/>
        <w:position w:val="0"/>
        <w:sz w:val="22"/>
        <w:sz w:val="22"/>
        <w:i w:val="false"/>
        <w:u w:val="none" w:color="000000"/>
        <w:b w:val="false"/>
        <w:shd w:fill="FFFFFF" w:val="clear"/>
      </w:rPr>
    </w:lvl>
    <w:lvl w:ilvl="3">
      <w:start w:val="1"/>
      <w:numFmt w:val="decimal"/>
      <w:lvlText w:val="%4"/>
      <w:lvlJc w:val="left"/>
      <w:pPr>
        <w:ind w:left="3947" w:hanging="360"/>
      </w:pPr>
      <w:rPr>
        <w:color w:val="000000"/>
        <w:dstrike w:val="false"/>
        <w:strike w:val="false"/>
        <w:vertAlign w:val="baseline"/>
        <w:position w:val="0"/>
        <w:sz w:val="22"/>
        <w:sz w:val="22"/>
        <w:i w:val="false"/>
        <w:u w:val="none" w:color="000000"/>
        <w:b w:val="false"/>
        <w:shd w:fill="FFFFFF" w:val="clear"/>
      </w:rPr>
    </w:lvl>
    <w:lvl w:ilvl="4">
      <w:start w:val="1"/>
      <w:numFmt w:val="lowerLetter"/>
      <w:lvlText w:val="%5"/>
      <w:lvlJc w:val="left"/>
      <w:pPr>
        <w:ind w:left="4667" w:hanging="360"/>
      </w:pPr>
      <w:rPr>
        <w:color w:val="000000"/>
        <w:dstrike w:val="false"/>
        <w:strike w:val="false"/>
        <w:vertAlign w:val="baseline"/>
        <w:position w:val="0"/>
        <w:sz w:val="22"/>
        <w:sz w:val="22"/>
        <w:i w:val="false"/>
        <w:u w:val="none" w:color="000000"/>
        <w:b w:val="false"/>
        <w:shd w:fill="FFFFFF" w:val="clear"/>
      </w:rPr>
    </w:lvl>
    <w:lvl w:ilvl="5">
      <w:start w:val="1"/>
      <w:numFmt w:val="lowerRoman"/>
      <w:lvlText w:val="%6"/>
      <w:lvlJc w:val="left"/>
      <w:pPr>
        <w:ind w:left="5387" w:hanging="360"/>
      </w:pPr>
      <w:rPr>
        <w:color w:val="000000"/>
        <w:dstrike w:val="false"/>
        <w:strike w:val="false"/>
        <w:vertAlign w:val="baseline"/>
        <w:position w:val="0"/>
        <w:sz w:val="22"/>
        <w:sz w:val="22"/>
        <w:i w:val="false"/>
        <w:u w:val="none" w:color="000000"/>
        <w:b w:val="false"/>
        <w:shd w:fill="FFFFFF" w:val="clear"/>
      </w:rPr>
    </w:lvl>
    <w:lvl w:ilvl="6">
      <w:start w:val="1"/>
      <w:numFmt w:val="decimal"/>
      <w:lvlText w:val="%7"/>
      <w:lvlJc w:val="left"/>
      <w:pPr>
        <w:ind w:left="6107" w:hanging="360"/>
      </w:pPr>
      <w:rPr>
        <w:color w:val="000000"/>
        <w:dstrike w:val="false"/>
        <w:strike w:val="false"/>
        <w:vertAlign w:val="baseline"/>
        <w:position w:val="0"/>
        <w:sz w:val="22"/>
        <w:sz w:val="22"/>
        <w:i w:val="false"/>
        <w:u w:val="none" w:color="000000"/>
        <w:b w:val="false"/>
        <w:shd w:fill="FFFFFF" w:val="clear"/>
      </w:rPr>
    </w:lvl>
    <w:lvl w:ilvl="7">
      <w:start w:val="1"/>
      <w:numFmt w:val="lowerLetter"/>
      <w:lvlText w:val="%8"/>
      <w:lvlJc w:val="left"/>
      <w:pPr>
        <w:ind w:left="6827" w:hanging="360"/>
      </w:pPr>
      <w:rPr>
        <w:color w:val="000000"/>
        <w:dstrike w:val="false"/>
        <w:strike w:val="false"/>
        <w:vertAlign w:val="baseline"/>
        <w:position w:val="0"/>
        <w:sz w:val="22"/>
        <w:sz w:val="22"/>
        <w:i w:val="false"/>
        <w:u w:val="none" w:color="000000"/>
        <w:b w:val="false"/>
        <w:shd w:fill="FFFFFF" w:val="clear"/>
      </w:rPr>
    </w:lvl>
    <w:lvl w:ilvl="8">
      <w:start w:val="1"/>
      <w:numFmt w:val="lowerRoman"/>
      <w:lvlText w:val="%9"/>
      <w:lvlJc w:val="left"/>
      <w:pPr>
        <w:ind w:left="7547" w:hanging="360"/>
      </w:pPr>
      <w:rPr>
        <w:color w:val="000000"/>
        <w:dstrike w:val="false"/>
        <w:strike w:val="false"/>
        <w:vertAlign w:val="baseline"/>
        <w:position w:val="0"/>
        <w:sz w:val="22"/>
        <w:sz w:val="22"/>
        <w:i w:val="false"/>
        <w:u w:val="none" w:color="000000"/>
        <w:b w:val="false"/>
        <w:shd w:fill="FFFFFF" w:val="clear"/>
      </w:rPr>
    </w:lvl>
  </w:abstractNum>
  <w:abstractNum w:abstractNumId="3">
    <w:lvl w:ilvl="0">
      <w:start w:val="1"/>
      <w:numFmt w:val="lowerLetter"/>
      <w:lvlText w:val="%1)"/>
      <w:lvlJc w:val="left"/>
      <w:pPr>
        <w:ind w:left="1623" w:hanging="360"/>
      </w:pPr>
      <w:rPr>
        <w:color w:val="000000"/>
        <w:dstrike w:val="false"/>
        <w:strike w:val="false"/>
        <w:vertAlign w:val="baseline"/>
        <w:position w:val="0"/>
        <w:sz w:val="22"/>
        <w:sz w:val="22"/>
        <w:i w:val="false"/>
        <w:u w:val="none" w:color="000000"/>
        <w:b w:val="false"/>
        <w:shd w:fill="FFFFFF" w:val="clear"/>
      </w:rPr>
    </w:lvl>
    <w:lvl w:ilvl="1">
      <w:start w:val="1"/>
      <w:numFmt w:val="lowerLetter"/>
      <w:lvlText w:val="%2"/>
      <w:lvlJc w:val="left"/>
      <w:pPr>
        <w:ind w:left="2343" w:hanging="360"/>
      </w:pPr>
      <w:rPr>
        <w:color w:val="000000"/>
        <w:dstrike w:val="false"/>
        <w:strike w:val="false"/>
        <w:vertAlign w:val="baseline"/>
        <w:position w:val="0"/>
        <w:sz w:val="22"/>
        <w:sz w:val="22"/>
        <w:i w:val="false"/>
        <w:u w:val="none" w:color="000000"/>
        <w:b w:val="false"/>
        <w:shd w:fill="FFFFFF" w:val="clear"/>
      </w:rPr>
    </w:lvl>
    <w:lvl w:ilvl="2">
      <w:start w:val="1"/>
      <w:numFmt w:val="lowerRoman"/>
      <w:lvlText w:val="%3"/>
      <w:lvlJc w:val="left"/>
      <w:pPr>
        <w:ind w:left="3063" w:hanging="360"/>
      </w:pPr>
      <w:rPr>
        <w:color w:val="000000"/>
        <w:dstrike w:val="false"/>
        <w:strike w:val="false"/>
        <w:vertAlign w:val="baseline"/>
        <w:position w:val="0"/>
        <w:sz w:val="22"/>
        <w:sz w:val="22"/>
        <w:i w:val="false"/>
        <w:u w:val="none" w:color="000000"/>
        <w:b w:val="false"/>
        <w:shd w:fill="FFFFFF" w:val="clear"/>
      </w:rPr>
    </w:lvl>
    <w:lvl w:ilvl="3">
      <w:start w:val="1"/>
      <w:numFmt w:val="decimal"/>
      <w:lvlText w:val="%4"/>
      <w:lvlJc w:val="left"/>
      <w:pPr>
        <w:ind w:left="3783" w:hanging="360"/>
      </w:pPr>
      <w:rPr>
        <w:color w:val="000000"/>
        <w:dstrike w:val="false"/>
        <w:strike w:val="false"/>
        <w:vertAlign w:val="baseline"/>
        <w:position w:val="0"/>
        <w:sz w:val="22"/>
        <w:sz w:val="22"/>
        <w:i w:val="false"/>
        <w:u w:val="none" w:color="000000"/>
        <w:b w:val="false"/>
        <w:shd w:fill="FFFFFF" w:val="clear"/>
      </w:rPr>
    </w:lvl>
    <w:lvl w:ilvl="4">
      <w:start w:val="1"/>
      <w:numFmt w:val="lowerLetter"/>
      <w:lvlText w:val="%5"/>
      <w:lvlJc w:val="left"/>
      <w:pPr>
        <w:ind w:left="4503" w:hanging="360"/>
      </w:pPr>
      <w:rPr>
        <w:color w:val="000000"/>
        <w:dstrike w:val="false"/>
        <w:strike w:val="false"/>
        <w:vertAlign w:val="baseline"/>
        <w:position w:val="0"/>
        <w:sz w:val="22"/>
        <w:sz w:val="22"/>
        <w:i w:val="false"/>
        <w:u w:val="none" w:color="000000"/>
        <w:b w:val="false"/>
        <w:shd w:fill="FFFFFF" w:val="clear"/>
      </w:rPr>
    </w:lvl>
    <w:lvl w:ilvl="5">
      <w:start w:val="1"/>
      <w:numFmt w:val="lowerRoman"/>
      <w:lvlText w:val="%6"/>
      <w:lvlJc w:val="left"/>
      <w:pPr>
        <w:ind w:left="5223" w:hanging="360"/>
      </w:pPr>
      <w:rPr>
        <w:color w:val="000000"/>
        <w:dstrike w:val="false"/>
        <w:strike w:val="false"/>
        <w:vertAlign w:val="baseline"/>
        <w:position w:val="0"/>
        <w:sz w:val="22"/>
        <w:sz w:val="22"/>
        <w:i w:val="false"/>
        <w:u w:val="none" w:color="000000"/>
        <w:b w:val="false"/>
        <w:shd w:fill="FFFFFF" w:val="clear"/>
      </w:rPr>
    </w:lvl>
    <w:lvl w:ilvl="6">
      <w:start w:val="1"/>
      <w:numFmt w:val="decimal"/>
      <w:lvlText w:val="%7"/>
      <w:lvlJc w:val="left"/>
      <w:pPr>
        <w:ind w:left="5943" w:hanging="360"/>
      </w:pPr>
      <w:rPr>
        <w:color w:val="000000"/>
        <w:dstrike w:val="false"/>
        <w:strike w:val="false"/>
        <w:vertAlign w:val="baseline"/>
        <w:position w:val="0"/>
        <w:sz w:val="22"/>
        <w:sz w:val="22"/>
        <w:i w:val="false"/>
        <w:u w:val="none" w:color="000000"/>
        <w:b w:val="false"/>
        <w:shd w:fill="FFFFFF" w:val="clear"/>
      </w:rPr>
    </w:lvl>
    <w:lvl w:ilvl="7">
      <w:start w:val="1"/>
      <w:numFmt w:val="lowerLetter"/>
      <w:lvlText w:val="%8"/>
      <w:lvlJc w:val="left"/>
      <w:pPr>
        <w:ind w:left="6663" w:hanging="360"/>
      </w:pPr>
      <w:rPr>
        <w:color w:val="000000"/>
        <w:dstrike w:val="false"/>
        <w:strike w:val="false"/>
        <w:vertAlign w:val="baseline"/>
        <w:position w:val="0"/>
        <w:sz w:val="22"/>
        <w:sz w:val="22"/>
        <w:i w:val="false"/>
        <w:u w:val="none" w:color="000000"/>
        <w:b w:val="false"/>
        <w:shd w:fill="FFFFFF" w:val="clear"/>
      </w:rPr>
    </w:lvl>
    <w:lvl w:ilvl="8">
      <w:start w:val="1"/>
      <w:numFmt w:val="lowerRoman"/>
      <w:lvlText w:val="%9"/>
      <w:lvlJc w:val="left"/>
      <w:pPr>
        <w:ind w:left="7383" w:hanging="360"/>
      </w:pPr>
      <w:rPr>
        <w:color w:val="000000"/>
        <w:dstrike w:val="false"/>
        <w:strike w:val="false"/>
        <w:vertAlign w:val="baseline"/>
        <w:position w:val="0"/>
        <w:sz w:val="22"/>
        <w:sz w:val="22"/>
        <w:i w:val="false"/>
        <w:u w:val="none" w:color="000000"/>
        <w:b w:val="false"/>
        <w:shd w:fill="FFFFFF" w:val="clear"/>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Calibri" w:hAnsi="Calibri" w:eastAsia="Droid Sans Fallback" w:cs=""/>
        <w:sz w:val="22"/>
        <w:szCs w:val="22"/>
        <w:lang w:val="en-US" w:eastAsia="en-US" w:bidi="ar-SA"/>
      </w:rPr>
    </w:rPrDefault>
    <w:pPrDefault>
      <w:pPr>
        <w:spacing w:lineRule="auto" w:line="259"/>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lineRule="auto" w:line="235" w:before="0" w:after="0"/>
      <w:ind w:left="1633" w:right="0" w:hanging="370"/>
      <w:jc w:val="both"/>
    </w:pPr>
    <w:rPr>
      <w:rFonts w:ascii="Times New Roman" w:hAnsi="Times New Roman" w:eastAsia="Times New Roman" w:cs="Times New Roman"/>
      <w:color w:val="000000"/>
      <w:sz w:val="22"/>
      <w:szCs w:val="22"/>
      <w:lang w:val="en-US" w:eastAsia="en-US" w:bidi="ar-SA"/>
    </w:rPr>
  </w:style>
  <w:style w:type="character" w:styleId="DefaultParagraphFont" w:default="1">
    <w:name w:val="Default Paragraph Font"/>
    <w:uiPriority w:val="1"/>
    <w:semiHidden/>
    <w:unhideWhenUsed/>
    <w:rPr/>
  </w:style>
  <w:style w:type="character" w:styleId="ListLabel1">
    <w:name w:val="ListLabel 1"/>
    <w:rPr>
      <w:rFonts w:eastAsia="Times New Roman" w:cs="Times New Roman"/>
      <w:b w:val="false"/>
      <w:i w:val="false"/>
      <w:strike w:val="false"/>
      <w:dstrike w:val="false"/>
      <w:color w:val="000000"/>
      <w:position w:val="0"/>
      <w:sz w:val="22"/>
      <w:sz w:val="22"/>
      <w:u w:val="none" w:color="000000"/>
      <w:shd w:fill="FFFFFF" w:val="clear"/>
      <w:vertAlign w:val="baseline"/>
    </w:rPr>
  </w:style>
  <w:style w:type="paragraph" w:styleId="Encabezado">
    <w:name w:val="Encabezado"/>
    <w:basedOn w:val="Normal"/>
    <w:next w:val="Cuerpodetexto"/>
    <w:pPr>
      <w:keepNext/>
      <w:spacing w:before="240" w:after="120"/>
    </w:pPr>
    <w:rPr>
      <w:rFonts w:ascii="Liberation Sans" w:hAnsi="Liberation Sans" w:eastAsia="Droid Sans Fallback" w:cs="FreeSans"/>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FreeSans"/>
    </w:rPr>
  </w:style>
  <w:style w:type="paragraph" w:styleId="Pie">
    <w:name w:val="Pie"/>
    <w:basedOn w:val="Normal"/>
    <w:pPr>
      <w:suppressLineNumbers/>
      <w:spacing w:before="120" w:after="120"/>
    </w:pPr>
    <w:rPr>
      <w:rFonts w:cs="FreeSans"/>
      <w:i/>
      <w:iCs/>
      <w:sz w:val="24"/>
      <w:szCs w:val="24"/>
    </w:rPr>
  </w:style>
  <w:style w:type="paragraph" w:styleId="Ndice">
    <w:name w:val="Índice"/>
    <w:basedOn w:val="Normal"/>
    <w:pPr>
      <w:suppressLineNumbers/>
    </w:pPr>
    <w:rPr>
      <w:rFonts w:cs="FreeSans"/>
    </w:rPr>
  </w:style>
  <w:style w:type="numbering" w:styleId="NoList" w:default="1">
    <w:name w:val="No List"/>
    <w:uiPriority w:val="99"/>
    <w:semiHidden/>
    <w:unhideWhenUsed/>
  </w:style>
  <w:style w:type="table" w:default="1" w:styleId="Tablanormal">
    <w:name w:val="Normal Table"/>
    <w:uiPriority w:val="99"/>
    <w:semiHidden/>
    <w:unhideWhenUsed/>
    <w:tblPr>
      <w:tblInd w:type="dxa" w:w="0"/>
      <w:tblCellMar>
        <w:top w:w="0" w:type="dxa"/>
        <w:left w:w="108" w:type="dxa"/>
        <w:bottom w:w="0" w:type="dxa"/>
        <w:right w:w="108" w:type="dxa"/>
      </w:tblCellMar>
    </w:tblPr>
  </w:style>
  <w:style w:type="table" w:customStyle="1" w:styleId="TableGrid">
    <w:name w:val="TableGrid"/>
    <w:pPr>
      <w:spacing w:line="240" w:lineRule="auto" w:after="0"/>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2017-07-25T15:15:00Z</dcterms:created>
  <dc:creator>Marcelo Balmaceda</dc:creator>
  <dc:language>es-AR</dc:language>
  <cp:lastModifiedBy>Laura Moraña</cp:lastModifiedBy>
  <dcterms:modified xsi:type="dcterms:W3CDTF">2017-07-26T18:15:00Z</dcterms:modified>
  <cp:revision>15</cp:revision>
  <dc:title>REGLAMENTO DE LAS BECAS JORGE OSTER</dc:title>
</cp:coreProperties>
</file>