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Bdr>
          <w:bottom w:color="00000A" w:space="0" w:sz="4" w:val="single"/>
        </w:pBdr>
        <w:spacing w:after="0" w:before="0" w:line="360" w:lineRule="auto"/>
        <w:jc w:val="center"/>
      </w:pPr>
      <w:r>
        <w:rPr>
          <w:rFonts w:ascii="Times New Roman" w:cs="Times New Roman" w:hAnsi="Times New Roman"/>
          <w:b/>
          <w:caps/>
          <w:sz w:val="26"/>
          <w:szCs w:val="26"/>
          <w:u w:val="single"/>
        </w:rPr>
        <w:t>SEMINARIO DE DERECHOS HUMANOS</w:t>
      </w:r>
    </w:p>
    <w:p>
      <w:pPr>
        <w:pStyle w:val="style0"/>
        <w:pBdr>
          <w:bottom w:color="00000A" w:space="0" w:sz="4" w:val="single"/>
        </w:pBdr>
        <w:spacing w:after="0" w:before="0" w:line="360" w:lineRule="auto"/>
        <w:jc w:val="both"/>
      </w:pPr>
      <w:r>
        <w:rPr>
          <w:rFonts w:ascii="Times New Roman" w:cs="Times New Roman" w:hAnsi="Times New Roman"/>
          <w:b/>
          <w:sz w:val="24"/>
          <w:szCs w:val="24"/>
          <w:u w:val="single"/>
        </w:rPr>
      </w:r>
    </w:p>
    <w:p>
      <w:pPr>
        <w:pStyle w:val="style0"/>
        <w:pBdr>
          <w:bottom w:color="00000A" w:space="0" w:sz="4" w:val="single"/>
        </w:pBdr>
        <w:spacing w:after="0" w:before="0" w:line="360" w:lineRule="auto"/>
        <w:jc w:val="both"/>
      </w:pPr>
      <w:r>
        <w:rPr>
          <w:rFonts w:ascii="Times New Roman" w:cs="Times New Roman" w:hAnsi="Times New Roman"/>
          <w:b/>
          <w:iCs/>
          <w:sz w:val="24"/>
          <w:szCs w:val="24"/>
        </w:rPr>
        <w:t>Co-organizado por la Facultad de Derecho y Ciencias Sociales de la Universidad Nacional del Comahue y el Colegio de Abogados de General Roca</w:t>
      </w:r>
    </w:p>
    <w:p>
      <w:pPr>
        <w:pStyle w:val="style0"/>
        <w:spacing w:after="0" w:before="0" w:line="360" w:lineRule="auto"/>
        <w:jc w:val="both"/>
      </w:pPr>
      <w:r>
        <w:rPr>
          <w:rFonts w:ascii="Times New Roman" w:cs="Times New Roman" w:hAnsi="Times New Roman"/>
          <w:sz w:val="24"/>
          <w:szCs w:val="24"/>
        </w:rPr>
      </w:r>
    </w:p>
    <w:p>
      <w:pPr>
        <w:pStyle w:val="style0"/>
        <w:spacing w:after="0" w:before="0" w:line="360" w:lineRule="auto"/>
        <w:jc w:val="both"/>
      </w:pPr>
      <w:r>
        <w:rPr>
          <w:rFonts w:ascii="Times New Roman" w:cs="Times New Roman" w:hAnsi="Times New Roman"/>
          <w:b/>
          <w:iCs/>
          <w:sz w:val="24"/>
          <w:szCs w:val="24"/>
          <w:u w:val="single"/>
        </w:rPr>
        <w:t>FUNDAMENTACIÓN</w:t>
      </w:r>
      <w:r>
        <w:rPr>
          <w:rFonts w:ascii="Times New Roman" w:cs="Times New Roman" w:hAnsi="Times New Roman"/>
          <w:b/>
          <w:iCs/>
          <w:sz w:val="24"/>
          <w:szCs w:val="24"/>
        </w:rPr>
        <w:t>:</w:t>
      </w:r>
    </w:p>
    <w:p>
      <w:pPr>
        <w:pStyle w:val="style0"/>
        <w:spacing w:after="0" w:before="0" w:line="360" w:lineRule="auto"/>
        <w:jc w:val="both"/>
      </w:pPr>
      <w:r>
        <w:rPr>
          <w:rFonts w:ascii="Times New Roman" w:cs="Times New Roman" w:hAnsi="Times New Roman"/>
          <w:b/>
          <w:iCs/>
          <w:sz w:val="24"/>
          <w:szCs w:val="24"/>
        </w:rPr>
      </w:r>
    </w:p>
    <w:p>
      <w:pPr>
        <w:pStyle w:val="style0"/>
        <w:spacing w:after="0" w:before="0" w:line="360" w:lineRule="auto"/>
        <w:jc w:val="both"/>
      </w:pPr>
      <w:r>
        <w:rPr>
          <w:rFonts w:ascii="Times New Roman" w:cs="Times New Roman" w:hAnsi="Times New Roman"/>
          <w:sz w:val="24"/>
          <w:szCs w:val="24"/>
        </w:rPr>
        <w:t xml:space="preserve">El Estado Argentino desde el año 1994, y en virtud del art. 75 inc. 22 de la CN, posee un conjunto de tratados internacionales de derechos humanos que, junto con la Constitución Nacional, constituyen la cúspide del sistema jurídico argentino. </w:t>
      </w:r>
    </w:p>
    <w:p>
      <w:pPr>
        <w:pStyle w:val="style0"/>
        <w:spacing w:after="0" w:before="0" w:line="360" w:lineRule="auto"/>
        <w:jc w:val="both"/>
      </w:pPr>
      <w:r>
        <w:rPr>
          <w:rFonts w:ascii="Times New Roman" w:cs="Times New Roman" w:hAnsi="Times New Roman"/>
          <w:sz w:val="24"/>
          <w:szCs w:val="24"/>
        </w:rPr>
        <w:t>De esta forma, el denominado “bloque de constitucionalidad federal” constituye un conjunto de normas que prevalecen sobre el resto del ordenamiento jurídico argentino, prescribiendo un piso mínimo de protección de derechos humanos, que impacta directamente en las políticas públicas y en el accionar estatal en general.</w:t>
      </w:r>
    </w:p>
    <w:p>
      <w:pPr>
        <w:pStyle w:val="style0"/>
        <w:spacing w:after="0" w:before="0" w:line="360" w:lineRule="auto"/>
        <w:jc w:val="both"/>
      </w:pPr>
      <w:r>
        <w:rPr>
          <w:rFonts w:ascii="Times New Roman" w:cs="Times New Roman" w:hAnsi="Times New Roman"/>
          <w:sz w:val="24"/>
          <w:szCs w:val="24"/>
        </w:rPr>
        <w:t>Por ello, la enseñanza de los derechos humanos como derechos esenciales de todo ser humano, y como contrapartida, deberes estatales prioritarios, constituye un insumo básico e insoslayable de la formación de grado, máxime en las carreras medulares de las ciencias sociales que posee la FADECS-UNCO.</w:t>
      </w:r>
    </w:p>
    <w:p>
      <w:pPr>
        <w:pStyle w:val="style0"/>
        <w:spacing w:after="0" w:before="0" w:line="360" w:lineRule="auto"/>
        <w:jc w:val="both"/>
      </w:pPr>
      <w:r>
        <w:rPr>
          <w:rFonts w:ascii="Times New Roman" w:cs="Times New Roman" w:hAnsi="Times New Roman"/>
          <w:sz w:val="24"/>
          <w:szCs w:val="24"/>
        </w:rPr>
        <w:t>En este sentido, cabe decir, que la Ley Federal de Trabajo Social nº 27072, plasma jurídicamente la histórica vinculación permanente entre la profesión de trabajo social con la defensa y promoción de los derechos humanos; así, en su art. 3 inc. A) sobre los objetivos prescribe “Promover la jerarquización de la profesión de trabajo social por su relevancia social y su contribución a la vigencia, defensa y reivindicación de los derechos humanos (…)”.</w:t>
      </w:r>
    </w:p>
    <w:p>
      <w:pPr>
        <w:pStyle w:val="style0"/>
        <w:spacing w:after="0" w:before="0" w:line="360" w:lineRule="auto"/>
        <w:jc w:val="both"/>
      </w:pPr>
      <w:r>
        <w:rPr>
          <w:rFonts w:ascii="Times New Roman" w:cs="Times New Roman" w:hAnsi="Times New Roman"/>
          <w:sz w:val="24"/>
          <w:szCs w:val="24"/>
        </w:rPr>
        <w:t xml:space="preserve">Asimismo, en las sociedades contemporáneas, adquiere un rol preponderante el derecho a la comunicación como derecho humano, y resulta imperativo promover el análisis, la discusión y la formulación de estrategias y políticas de comunicación desde la perspectiva de los derechos humanos. </w:t>
      </w:r>
    </w:p>
    <w:p>
      <w:pPr>
        <w:pStyle w:val="style0"/>
        <w:spacing w:after="0" w:before="0" w:line="360" w:lineRule="auto"/>
        <w:jc w:val="both"/>
      </w:pPr>
      <w:r>
        <w:rPr>
          <w:rFonts w:ascii="Times New Roman" w:cs="Times New Roman" w:hAnsi="Times New Roman"/>
          <w:sz w:val="24"/>
          <w:szCs w:val="24"/>
        </w:rPr>
        <w:t>Además, los derechos humanos son un fenómeno y producto sociocultural complejo, que transversalizan al campo de la ética, la política y la sociedad en su conjunto; y por ello, resulta crucial el análisis de los derechos fundamentales del ser humano en el contexto social.</w:t>
      </w:r>
    </w:p>
    <w:p>
      <w:pPr>
        <w:pStyle w:val="style0"/>
        <w:spacing w:after="0" w:before="0" w:line="360" w:lineRule="auto"/>
        <w:jc w:val="both"/>
      </w:pPr>
      <w:r>
        <w:rPr>
          <w:rFonts w:ascii="Times New Roman" w:cs="Times New Roman" w:hAnsi="Times New Roman"/>
          <w:sz w:val="24"/>
          <w:szCs w:val="24"/>
        </w:rPr>
        <w:t>En virtud de ello, el Colegio de Abogados de General Roca, como asociación profesional de abogados/as comprometida con la defensa y promoción de los derechos humanos, en concordancia con las necesidades sociales de la comunidad, y como agente auxiliar esencial de la administración de justicia, ofrece a esta alta casa de estudios la presente propuesta de formación en derechos humanos, dirigida a estudiantes de la FADECS (con excepción de la carrera de Derecho),  y principalmente a estudiantes de Trabajo Social.</w:t>
      </w:r>
    </w:p>
    <w:p>
      <w:pPr>
        <w:pStyle w:val="style0"/>
        <w:spacing w:after="0" w:before="0" w:line="360" w:lineRule="auto"/>
        <w:jc w:val="both"/>
      </w:pPr>
      <w:r>
        <w:rPr>
          <w:rFonts w:ascii="Times New Roman" w:cs="Times New Roman" w:hAnsi="Times New Roman"/>
          <w:sz w:val="24"/>
          <w:szCs w:val="24"/>
        </w:rPr>
        <w:t>A tal efecto, el Seminario será dictado por los/as miembros de los Institutos de Derechos Humanos, de Derecho de Familia, y de Género del Colegio de Abogados de General Roca.</w:t>
      </w:r>
    </w:p>
    <w:p>
      <w:pPr>
        <w:pStyle w:val="style0"/>
        <w:spacing w:after="0" w:before="0" w:line="360" w:lineRule="auto"/>
        <w:jc w:val="both"/>
      </w:pPr>
      <w:r>
        <w:rPr>
          <w:rFonts w:ascii="Times New Roman" w:cs="Times New Roman" w:hAnsi="Times New Roman"/>
          <w:sz w:val="24"/>
          <w:szCs w:val="24"/>
        </w:rPr>
      </w:r>
    </w:p>
    <w:p>
      <w:pPr>
        <w:pStyle w:val="style0"/>
        <w:spacing w:after="0" w:before="0" w:line="360" w:lineRule="auto"/>
        <w:jc w:val="both"/>
      </w:pPr>
      <w:r>
        <w:rPr>
          <w:rFonts w:ascii="Times New Roman" w:cs="Times New Roman" w:hAnsi="Times New Roman"/>
          <w:b/>
          <w:iCs/>
          <w:sz w:val="24"/>
          <w:szCs w:val="24"/>
          <w:u w:val="single"/>
        </w:rPr>
      </w:r>
    </w:p>
    <w:p>
      <w:pPr>
        <w:pStyle w:val="style0"/>
        <w:spacing w:after="0" w:before="0" w:line="360" w:lineRule="auto"/>
        <w:jc w:val="both"/>
      </w:pPr>
      <w:r>
        <w:rPr>
          <w:rFonts w:ascii="Times New Roman" w:cs="Times New Roman" w:hAnsi="Times New Roman"/>
          <w:b/>
          <w:iCs/>
          <w:sz w:val="24"/>
          <w:szCs w:val="24"/>
          <w:u w:val="single"/>
        </w:rPr>
        <w:t>OBJETIVOS</w:t>
      </w:r>
      <w:r>
        <w:rPr>
          <w:rFonts w:ascii="Times New Roman" w:cs="Times New Roman" w:hAnsi="Times New Roman"/>
          <w:b/>
          <w:iCs/>
          <w:sz w:val="24"/>
          <w:szCs w:val="24"/>
        </w:rPr>
        <w:t>:</w:t>
      </w:r>
    </w:p>
    <w:p>
      <w:pPr>
        <w:pStyle w:val="style0"/>
        <w:spacing w:after="0" w:before="0" w:line="360" w:lineRule="auto"/>
        <w:jc w:val="both"/>
      </w:pPr>
      <w:r>
        <w:rPr>
          <w:rFonts w:ascii="Times New Roman" w:cs="Times New Roman" w:hAnsi="Times New Roman"/>
          <w:b/>
          <w:iCs/>
          <w:sz w:val="24"/>
          <w:szCs w:val="24"/>
        </w:rPr>
      </w:r>
    </w:p>
    <w:p>
      <w:pPr>
        <w:pStyle w:val="style0"/>
        <w:spacing w:after="0" w:before="0" w:line="360" w:lineRule="auto"/>
        <w:jc w:val="both"/>
      </w:pPr>
      <w:r>
        <w:rPr>
          <w:rFonts w:ascii="Times New Roman" w:cs="Times New Roman" w:hAnsi="Times New Roman"/>
          <w:bCs/>
          <w:iCs/>
          <w:sz w:val="24"/>
          <w:szCs w:val="24"/>
        </w:rPr>
        <w:t>El presente seminario posee tres objetivos principales:</w:t>
      </w:r>
    </w:p>
    <w:p>
      <w:pPr>
        <w:pStyle w:val="style0"/>
        <w:shd w:fill="FFFFFF" w:val="clear"/>
        <w:spacing w:after="0" w:before="0" w:line="360" w:lineRule="auto"/>
        <w:jc w:val="both"/>
      </w:pPr>
      <w:r>
        <w:rPr>
          <w:rFonts w:ascii="Times New Roman" w:cs="Times New Roman" w:eastAsia="Times New Roman" w:hAnsi="Times New Roman"/>
          <w:sz w:val="24"/>
          <w:szCs w:val="24"/>
        </w:rPr>
        <w:t>-Contribuir a la formación en derechos humanos a los estudiantes de la FADECS, con énfasis en la realidad provincial.</w:t>
      </w:r>
    </w:p>
    <w:p>
      <w:pPr>
        <w:pStyle w:val="style0"/>
        <w:shd w:fill="FFFFFF" w:val="clear"/>
        <w:spacing w:after="0" w:before="0" w:line="360" w:lineRule="auto"/>
        <w:jc w:val="both"/>
      </w:pPr>
      <w:r>
        <w:rPr>
          <w:rFonts w:ascii="Times New Roman" w:cs="Times New Roman" w:eastAsia="Times New Roman" w:hAnsi="Times New Roman"/>
          <w:sz w:val="24"/>
          <w:szCs w:val="24"/>
        </w:rPr>
        <w:t>-Brindar herramientas jurídicas básicas para el ejercicio profesional de los futuros graduados.</w:t>
      </w:r>
    </w:p>
    <w:p>
      <w:pPr>
        <w:pStyle w:val="style0"/>
        <w:shd w:fill="FFFFFF" w:val="clear"/>
        <w:spacing w:after="0" w:before="0" w:line="360" w:lineRule="auto"/>
        <w:jc w:val="both"/>
      </w:pPr>
      <w:r>
        <w:rPr>
          <w:rFonts w:ascii="Times New Roman" w:cs="Times New Roman" w:eastAsia="Times New Roman" w:hAnsi="Times New Roman"/>
          <w:sz w:val="24"/>
          <w:szCs w:val="24"/>
        </w:rPr>
        <w:t>-Promover la capacitación en derechos humanos como ejes de actuación profesional y como estándar obligatorio en la política pública en general.</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iCs/>
          <w:sz w:val="24"/>
          <w:szCs w:val="24"/>
          <w:u w:val="single"/>
        </w:rPr>
        <w:t>DURACIÓN Y ESTRUCTURA DEL SEMINARIO</w:t>
      </w:r>
    </w:p>
    <w:p>
      <w:pPr>
        <w:pStyle w:val="style0"/>
        <w:shd w:fill="FFFFFF" w:val="clear"/>
        <w:spacing w:after="0" w:before="0" w:line="360" w:lineRule="auto"/>
        <w:jc w:val="both"/>
      </w:pPr>
      <w:r>
        <w:rPr>
          <w:rFonts w:ascii="Times New Roman" w:cs="Times New Roman" w:eastAsia="Times New Roman" w:hAnsi="Times New Roman"/>
          <w:b/>
          <w:iCs/>
          <w:sz w:val="24"/>
          <w:szCs w:val="24"/>
          <w:u w:val="single"/>
        </w:rPr>
      </w:r>
    </w:p>
    <w:p>
      <w:pPr>
        <w:pStyle w:val="style0"/>
        <w:shd w:fill="FFFFFF" w:val="clear"/>
        <w:spacing w:after="0" w:before="0" w:line="360" w:lineRule="auto"/>
        <w:jc w:val="both"/>
      </w:pPr>
      <w:r>
        <w:rPr>
          <w:rFonts w:ascii="Times New Roman" w:cs="Times New Roman" w:eastAsia="Times New Roman" w:hAnsi="Times New Roman"/>
          <w:sz w:val="24"/>
          <w:szCs w:val="24"/>
        </w:rPr>
        <w:t>El seminario será estructurado en 5 módulos: el módulo primero contendrá nociones introductorias sobre los DDHH, y los otros cuatro módulos estarán destinados a desarrollar a colectivos históricamente vulnerados (niñez, género, discapacidad y adultos mayores).</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De esta manera, el total del seminario se dictará en 10 (diez) clases, de 4 (cuatro) horas cada una, según el cronograma propuesto en el siguiente acápite. </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i/>
          <w:sz w:val="24"/>
          <w:szCs w:val="24"/>
          <w:u w:val="single"/>
        </w:rPr>
      </w:r>
    </w:p>
    <w:p>
      <w:pPr>
        <w:pStyle w:val="style0"/>
        <w:shd w:fill="FFFFFF" w:val="clear"/>
        <w:spacing w:after="0" w:before="0" w:line="360" w:lineRule="auto"/>
        <w:jc w:val="both"/>
      </w:pPr>
      <w:r>
        <w:rPr>
          <w:rFonts w:ascii="Times New Roman" w:cs="Times New Roman" w:eastAsia="Times New Roman" w:hAnsi="Times New Roman"/>
          <w:b/>
          <w:iCs/>
          <w:sz w:val="24"/>
          <w:szCs w:val="24"/>
          <w:u w:val="single"/>
        </w:rPr>
        <w:t>ORGANIZACIÓN DE LOS CONTENIDOS Y CRONOGRAMA DE CLASES</w:t>
      </w:r>
    </w:p>
    <w:p>
      <w:pPr>
        <w:pStyle w:val="style0"/>
        <w:shd w:fill="FFFFFF" w:val="clear"/>
        <w:spacing w:after="0" w:before="0" w:line="360" w:lineRule="auto"/>
        <w:jc w:val="both"/>
      </w:pPr>
      <w:r>
        <w:rPr>
          <w:rFonts w:ascii="Times New Roman" w:cs="Times New Roman" w:eastAsia="Times New Roman" w:hAnsi="Times New Roman"/>
          <w:b/>
          <w:iCs/>
          <w:sz w:val="24"/>
          <w:szCs w:val="24"/>
          <w:u w:val="single"/>
        </w:rPr>
      </w:r>
    </w:p>
    <w:p>
      <w:pPr>
        <w:pStyle w:val="style0"/>
        <w:shd w:fill="FFFFFF" w:val="clear"/>
        <w:spacing w:after="0" w:before="0" w:line="360" w:lineRule="auto"/>
        <w:jc w:val="both"/>
      </w:pPr>
      <w:r>
        <w:rPr>
          <w:rFonts w:ascii="Times New Roman" w:cs="Times New Roman" w:eastAsia="Times New Roman" w:hAnsi="Times New Roman"/>
          <w:b/>
          <w:sz w:val="24"/>
          <w:szCs w:val="24"/>
        </w:rPr>
        <w:t xml:space="preserve">MODULO I: INTRODUCCIÓN A LOS DERECHOS HUMANOS. </w:t>
      </w:r>
    </w:p>
    <w:p>
      <w:pPr>
        <w:pStyle w:val="style0"/>
        <w:shd w:fill="FFFFFF" w:val="clear"/>
        <w:spacing w:after="0" w:before="0" w:line="360" w:lineRule="auto"/>
        <w:jc w:val="both"/>
      </w:pPr>
      <w:r>
        <w:rPr>
          <w:rFonts w:ascii="Times New Roman" w:cs="Times New Roman" w:eastAsia="Times New Roman" w:hAnsi="Times New Roman"/>
          <w:sz w:val="24"/>
          <w:szCs w:val="24"/>
        </w:rPr>
        <w:t>Se desarrollará los días 19 y 27 de septiembre de 2019.</w:t>
      </w:r>
    </w:p>
    <w:p>
      <w:pPr>
        <w:pStyle w:val="style0"/>
        <w:shd w:fill="FFFFFF" w:val="clear"/>
        <w:spacing w:after="0" w:before="0" w:line="360" w:lineRule="auto"/>
        <w:jc w:val="both"/>
      </w:pPr>
      <w:r>
        <w:rPr>
          <w:rFonts w:ascii="Times New Roman" w:cs="Times New Roman" w:eastAsia="Times New Roman" w:hAnsi="Times New Roman"/>
          <w:b/>
          <w:sz w:val="24"/>
          <w:szCs w:val="24"/>
        </w:rPr>
        <w:t>Contenido:</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Aproximación conceptual a los DDHH. Evolución Histórica. Generaciones de DDHH. Crítica. Caracteres de los DDHH. Principios de interpretación y aplicación. Sistema de protección universal y regionales de los DDHH. Comisión y Corte Interamericana de Derechos Humanos. </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sz w:val="24"/>
          <w:szCs w:val="24"/>
        </w:rPr>
        <w:t>MODULO II: DERECHOS DE LOS NIÑOS/AS Y ADOLESCENTES.</w:t>
      </w:r>
    </w:p>
    <w:p>
      <w:pPr>
        <w:pStyle w:val="style0"/>
        <w:shd w:fill="FFFFFF" w:val="clear"/>
        <w:spacing w:after="0" w:before="0" w:line="360" w:lineRule="auto"/>
        <w:jc w:val="both"/>
      </w:pPr>
      <w:r>
        <w:rPr>
          <w:rFonts w:ascii="Times New Roman" w:cs="Times New Roman" w:eastAsia="Times New Roman" w:hAnsi="Times New Roman"/>
          <w:sz w:val="24"/>
          <w:szCs w:val="24"/>
        </w:rPr>
        <w:t>Se desarrollará los días 4 y 11 de octubre de 2019.</w:t>
      </w:r>
    </w:p>
    <w:p>
      <w:pPr>
        <w:pStyle w:val="style0"/>
        <w:shd w:fill="FFFFFF" w:val="clear"/>
        <w:spacing w:after="0" w:before="0" w:line="360" w:lineRule="auto"/>
        <w:jc w:val="both"/>
      </w:pPr>
      <w:r>
        <w:rPr>
          <w:rFonts w:ascii="Times New Roman" w:cs="Times New Roman" w:eastAsia="Times New Roman" w:hAnsi="Times New Roman"/>
          <w:b/>
          <w:sz w:val="24"/>
          <w:szCs w:val="24"/>
        </w:rPr>
        <w:t>Contenido:</w:t>
      </w:r>
    </w:p>
    <w:p>
      <w:pPr>
        <w:pStyle w:val="style0"/>
        <w:shd w:fill="FFFFFF" w:val="clear"/>
        <w:spacing w:after="0" w:before="0" w:line="360" w:lineRule="auto"/>
        <w:jc w:val="both"/>
      </w:pPr>
      <w:r>
        <w:rPr>
          <w:rFonts w:ascii="Times New Roman" w:cs="Times New Roman" w:hAnsi="Times New Roman"/>
          <w:sz w:val="24"/>
          <w:szCs w:val="24"/>
        </w:rPr>
        <w:t>El niño como sujeto de derechos. Paradigma de la Situación Irregular. Impacto de la Convención Internacional sobre los Derechos del Niño. Paradigma de la Protección Integral. Ley n° 26061 de Protección Integral de los Derechos de los niños, niñas y adolescentes. Sistema de Protección Integral de la Niñez. Medidas de Protección Integral. Medidas de Protección Excepcional. Ley D n° 4109 de Protección Integral de la Niñez de Rio Negro. Ley n° 2302 de la provincia de Neuquén. Decreto nº 72/2011 Programa “Fortalecimiento Familiar” de Rio Negro. Nociones básicas de la regulación de los derechos de los niños, niñas y adolescentes en el Código Civil y Comercial de la Nación. Capacidad Progresiva. Interés Superior del Niño.</w:t>
      </w:r>
    </w:p>
    <w:p>
      <w:pPr>
        <w:pStyle w:val="style0"/>
        <w:shd w:fill="FFFFFF" w:val="clear"/>
        <w:spacing w:after="0" w:before="0" w:line="360" w:lineRule="auto"/>
        <w:jc w:val="both"/>
      </w:pPr>
      <w:r>
        <w:rPr>
          <w:rFonts w:ascii="Times New Roman" w:cs="Times New Roman" w:hAnsi="Times New Roman"/>
          <w:sz w:val="24"/>
          <w:szCs w:val="24"/>
        </w:rPr>
        <w:t>Sistema penal juvenil. Decr. Ley 22278. Decreto nº 324/2003 Programa “Jóvenes en conflicto con la Ley” de Rio Negro.</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ind w:hanging="0" w:left="360" w:right="0"/>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sz w:val="24"/>
          <w:szCs w:val="24"/>
        </w:rPr>
        <w:t>MODULO III: GÉNERO Y DIVERSIDAD.</w:t>
      </w:r>
    </w:p>
    <w:p>
      <w:pPr>
        <w:pStyle w:val="style0"/>
        <w:shd w:fill="FFFFFF" w:val="clear"/>
        <w:spacing w:after="0" w:before="0" w:line="360" w:lineRule="auto"/>
        <w:jc w:val="both"/>
      </w:pPr>
      <w:r>
        <w:rPr>
          <w:rFonts w:ascii="Times New Roman" w:cs="Times New Roman" w:eastAsia="Times New Roman" w:hAnsi="Times New Roman"/>
          <w:sz w:val="24"/>
          <w:szCs w:val="24"/>
        </w:rPr>
        <w:t>Se desarrollará los días 18 y 25 de octubre de 2019.</w:t>
      </w:r>
    </w:p>
    <w:p>
      <w:pPr>
        <w:pStyle w:val="style0"/>
        <w:shd w:fill="FFFFFF" w:val="clear"/>
        <w:spacing w:after="0" w:before="0" w:line="360" w:lineRule="auto"/>
        <w:jc w:val="both"/>
      </w:pPr>
      <w:r>
        <w:rPr>
          <w:rFonts w:ascii="Times New Roman" w:cs="Times New Roman" w:eastAsia="Times New Roman" w:hAnsi="Times New Roman"/>
          <w:b/>
          <w:sz w:val="24"/>
          <w:szCs w:val="24"/>
        </w:rPr>
        <w:t>Contenido:</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Enfoque de Género. Estereotipos. Derecho y Género. Androcentrismo en la génesis de los DDHH. Convención sobre la Eliminación de toda forma de Discriminación contra la Mujer (CEDAW). Discriminación directa e indirecta. La Convención Interamericana </w:t>
      </w:r>
      <w:r>
        <w:rPr>
          <w:rFonts w:ascii="Times New Roman" w:cs="Times New Roman" w:eastAsia="Times New Roman" w:hAnsi="Times New Roman"/>
          <w:sz w:val="24"/>
          <w:szCs w:val="24"/>
        </w:rPr>
        <w:t xml:space="preserve">para Prevenir, Sancionar y Erradicar la Violencia contra la Mujer, “Convención de Belém do Pará”. Violencia contra la mujer. Obligaciones estatales. Ley 26.485 de protección integral para prevenir, sancionar y erradicar la violencia contra las mujeres en todos los ámbitos en que desarrollan sus relaciones interpersonales. Derechos tutelados. Tipos y modalidades de violencia. Decreto Reglamentario 1011/2010. Ley D nº 4650 de adhesión provincial.  Efectos jurídicos en el ámbito local. Ley D nº 3040 de violencia en el ámbito familiar. Ámbito de protección. Legitimación Activa y pasiva. Clases de violencia. Medidas cautelares. Procedimiento. Contraste con la Ley 26485. </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Ley 26743 de Identidad de Género. </w:t>
      </w:r>
      <w:r>
        <w:rPr>
          <w:rFonts w:ascii="Times New Roman" w:cs="Times New Roman" w:hAnsi="Times New Roman"/>
          <w:sz w:val="24"/>
          <w:szCs w:val="24"/>
        </w:rPr>
        <w:t xml:space="preserve">Principios de Yogyakarta de ONU. </w:t>
      </w:r>
      <w:r>
        <w:rPr>
          <w:rFonts w:ascii="Times New Roman" w:cs="Times New Roman" w:eastAsia="Times New Roman" w:hAnsi="Times New Roman"/>
          <w:sz w:val="24"/>
          <w:szCs w:val="24"/>
        </w:rPr>
        <w:t>Decreto reglamentario 1007/2012. Normativa rionegrina sobre diversidad sexual.</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bCs/>
          <w:sz w:val="24"/>
          <w:szCs w:val="24"/>
        </w:rPr>
      </w:r>
    </w:p>
    <w:p>
      <w:pPr>
        <w:pStyle w:val="style0"/>
        <w:shd w:fill="FFFFFF" w:val="clear"/>
        <w:spacing w:after="0" w:before="0" w:line="360" w:lineRule="auto"/>
        <w:jc w:val="both"/>
      </w:pPr>
      <w:r>
        <w:rPr>
          <w:rFonts w:ascii="Times New Roman" w:cs="Times New Roman" w:eastAsia="Times New Roman" w:hAnsi="Times New Roman"/>
          <w:b/>
          <w:bCs/>
          <w:sz w:val="24"/>
          <w:szCs w:val="24"/>
        </w:rPr>
        <w:t>MODULO IV. DISCAPACIDAD Y SALUD MENTAL.</w:t>
      </w:r>
    </w:p>
    <w:p>
      <w:pPr>
        <w:pStyle w:val="style0"/>
        <w:shd w:fill="FFFFFF" w:val="clear"/>
        <w:spacing w:after="0" w:before="0" w:line="360" w:lineRule="auto"/>
        <w:jc w:val="both"/>
      </w:pPr>
      <w:r>
        <w:rPr>
          <w:rFonts w:ascii="Times New Roman" w:cs="Times New Roman" w:eastAsia="Times New Roman" w:hAnsi="Times New Roman"/>
          <w:sz w:val="24"/>
          <w:szCs w:val="24"/>
        </w:rPr>
        <w:t>Se desarrollará los días 1 y 8 de noviembre de 2019.</w:t>
      </w:r>
    </w:p>
    <w:p>
      <w:pPr>
        <w:pStyle w:val="style0"/>
        <w:shd w:fill="FFFFFF" w:val="clear"/>
        <w:spacing w:after="0" w:before="0" w:line="360" w:lineRule="auto"/>
        <w:jc w:val="both"/>
      </w:pPr>
      <w:r>
        <w:rPr>
          <w:rFonts w:ascii="Times New Roman" w:cs="Times New Roman" w:eastAsia="Times New Roman" w:hAnsi="Times New Roman"/>
          <w:b/>
          <w:bCs/>
          <w:sz w:val="24"/>
          <w:szCs w:val="24"/>
        </w:rPr>
        <w:t>Contenido:</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Discapacidad: categoría polisémica. Modelo médico. Perspectiva social. Medidas de acción positiva (art. 75 inc. 23 CN). Derrotero histórico de la protección de los derechos de las personas con discapacidad a nivel internacional y regional. </w:t>
      </w:r>
      <w:r>
        <w:rPr>
          <w:rFonts w:ascii="Times New Roman" w:cs="Times New Roman" w:hAnsi="Times New Roman"/>
          <w:sz w:val="24"/>
          <w:szCs w:val="24"/>
        </w:rPr>
        <w:t>“Cien Reglas de Brasilia sobre el Acceso a la Justicia de las Personas en Condición de Vulnerabilidad”.</w:t>
      </w:r>
      <w:r>
        <w:rPr>
          <w:rFonts w:ascii="Times New Roman" w:cs="Times New Roman" w:eastAsia="Times New Roman" w:hAnsi="Times New Roman"/>
          <w:sz w:val="24"/>
          <w:szCs w:val="24"/>
        </w:rPr>
        <w:t xml:space="preserve"> Ley 26378 Convención sobre los derechos de las personas con discapacidad. Derechos consagrados. Ley 22431 “Sistema de protección integral de los discapacitados”. Ley 24901 “Sistema de prestaciones básicas en habilitación y rehabilitación integral”.</w:t>
      </w:r>
    </w:p>
    <w:p>
      <w:pPr>
        <w:pStyle w:val="style0"/>
        <w:shd w:fill="FFFFFF" w:val="clear"/>
        <w:spacing w:after="0" w:before="0" w:line="360" w:lineRule="auto"/>
        <w:jc w:val="both"/>
      </w:pPr>
      <w:r>
        <w:rPr>
          <w:rFonts w:ascii="Times New Roman" w:cs="Times New Roman" w:eastAsia="Times New Roman" w:hAnsi="Times New Roman"/>
          <w:sz w:val="24"/>
          <w:szCs w:val="24"/>
        </w:rPr>
        <w:t>Protección de los derechos de las personas con discapacidad en la provincia de Rio Negro. Constitución provincial (Art. 36 CPRN). Legislación rionegrina.</w:t>
      </w:r>
    </w:p>
    <w:p>
      <w:pPr>
        <w:pStyle w:val="style0"/>
        <w:shd w:fill="FFFFFF" w:val="clear"/>
        <w:spacing w:after="0" w:before="0" w:line="360" w:lineRule="auto"/>
        <w:jc w:val="both"/>
      </w:pPr>
      <w:r>
        <w:rPr>
          <w:rFonts w:ascii="Times New Roman" w:cs="Times New Roman" w:eastAsia="Times New Roman" w:hAnsi="Times New Roman"/>
          <w:sz w:val="24"/>
          <w:szCs w:val="24"/>
        </w:rPr>
        <w:t>Salud Mental. Impacto de la Ley 26657. Derechos. Internaciones. Legislación rionegrina. Ley 2440. Adecuación a la Ley nacional: Ley 5349.</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ind w:hanging="0" w:left="360" w:right="0"/>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bCs/>
          <w:sz w:val="24"/>
          <w:szCs w:val="24"/>
        </w:rPr>
        <w:t>MODULO V.  ADULTOS MAYORES.</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A desarrollarse los días </w:t>
      </w:r>
      <w:bookmarkStart w:id="0" w:name="_GoBack"/>
      <w:bookmarkEnd w:id="0"/>
      <w:r>
        <w:rPr>
          <w:rFonts w:ascii="Times New Roman" w:cs="Times New Roman" w:eastAsia="Times New Roman" w:hAnsi="Times New Roman"/>
          <w:sz w:val="24"/>
          <w:szCs w:val="24"/>
        </w:rPr>
        <w:t>15 y 22 de noviembre de 2019.</w:t>
      </w:r>
    </w:p>
    <w:p>
      <w:pPr>
        <w:pStyle w:val="style0"/>
        <w:shd w:fill="FFFFFF" w:val="clear"/>
        <w:spacing w:after="0" w:before="0" w:line="360" w:lineRule="auto"/>
        <w:jc w:val="both"/>
      </w:pPr>
      <w:r>
        <w:rPr>
          <w:rFonts w:ascii="Times New Roman" w:cs="Times New Roman" w:eastAsia="Times New Roman" w:hAnsi="Times New Roman"/>
          <w:b/>
          <w:bCs/>
          <w:sz w:val="24"/>
          <w:szCs w:val="24"/>
        </w:rPr>
        <w:t>Contenido:</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Personas mayores como sujetos de derecho. Derecho a la vejez y gerontología. Igualdad formal e igualdad de oportunidades. </w:t>
      </w:r>
      <w:r>
        <w:rPr>
          <w:rFonts w:ascii="Times New Roman" w:cs="Times New Roman" w:hAnsi="Times New Roman"/>
          <w:sz w:val="24"/>
          <w:szCs w:val="24"/>
        </w:rPr>
        <w:t xml:space="preserve">Decálogo de los Derechos de la Ancianidad en la </w:t>
      </w:r>
      <w:r>
        <w:rPr>
          <w:rFonts w:ascii="Times New Roman" w:cs="Times New Roman" w:hAnsi="Times New Roman"/>
          <w:sz w:val="24"/>
          <w:szCs w:val="24"/>
        </w:rPr>
        <w:t xml:space="preserve">Constitución de 1949. </w:t>
      </w:r>
      <w:r>
        <w:rPr>
          <w:rFonts w:ascii="Times New Roman" w:cs="Times New Roman" w:hAnsi="Times New Roman"/>
          <w:color w:val="000000"/>
          <w:sz w:val="24"/>
          <w:szCs w:val="24"/>
        </w:rPr>
        <w:t>Los Principios de las Naciones Unidas en favor de las personas de edad.</w:t>
      </w:r>
    </w:p>
    <w:p>
      <w:pPr>
        <w:pStyle w:val="style0"/>
        <w:shd w:fill="FFFFFF" w:val="clear"/>
        <w:spacing w:after="0" w:before="0" w:line="360" w:lineRule="auto"/>
        <w:jc w:val="both"/>
      </w:pPr>
      <w:r>
        <w:rPr>
          <w:rFonts w:ascii="Times New Roman" w:cs="Times New Roman" w:eastAsia="Times New Roman" w:hAnsi="Times New Roman"/>
          <w:sz w:val="24"/>
          <w:szCs w:val="24"/>
        </w:rPr>
        <w:t>Ley nº 27360 Convención Interamericana sobre Protección de los Derechos Humanos de las Personas Mayores. Vejez. Persona mayor. Discriminación por edad en la vejez. Principios. Deberes estatales. Derechos.</w:t>
      </w:r>
    </w:p>
    <w:p>
      <w:pPr>
        <w:pStyle w:val="style0"/>
        <w:shd w:fill="FFFFFF" w:val="clear"/>
        <w:spacing w:after="0" w:before="0" w:line="360" w:lineRule="auto"/>
        <w:jc w:val="both"/>
      </w:pPr>
      <w:r>
        <w:rPr>
          <w:rFonts w:ascii="Times New Roman" w:cs="Times New Roman" w:eastAsia="Times New Roman" w:hAnsi="Times New Roman"/>
          <w:sz w:val="24"/>
          <w:szCs w:val="24"/>
        </w:rPr>
        <w:t>Normativa rionegrina sobre adultos mayores. Ley nº 5071. Ley 5257 de adhesión a la Convención Interamericana de personas mayores.</w:t>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ind w:hanging="0" w:left="360" w:right="0"/>
        <w:jc w:val="both"/>
      </w:pPr>
      <w:r>
        <w:rPr>
          <w:rFonts w:ascii="Times New Roman" w:cs="Times New Roman" w:eastAsia="Times New Roman" w:hAnsi="Times New Roman"/>
          <w:sz w:val="24"/>
          <w:szCs w:val="24"/>
          <w:lang w:eastAsia="ko-KR"/>
        </w:rPr>
      </w:r>
    </w:p>
    <w:p>
      <w:pPr>
        <w:pStyle w:val="style0"/>
        <w:shd w:fill="FFFFFF" w:val="clear"/>
        <w:spacing w:after="0" w:before="0" w:line="360" w:lineRule="auto"/>
        <w:jc w:val="both"/>
      </w:pPr>
      <w:r>
        <w:rPr>
          <w:rFonts w:ascii="Times New Roman" w:cs="Times New Roman" w:hAnsi="Times New Roman"/>
          <w:b/>
          <w:bCs/>
          <w:sz w:val="24"/>
          <w:szCs w:val="24"/>
          <w:u w:val="single"/>
        </w:rPr>
        <w:t xml:space="preserve">BIBLIOGRAFÍA: </w:t>
      </w:r>
    </w:p>
    <w:p>
      <w:pPr>
        <w:pStyle w:val="style0"/>
        <w:shd w:fill="FFFFFF" w:val="clear"/>
        <w:spacing w:after="0" w:before="0" w:line="360" w:lineRule="auto"/>
        <w:jc w:val="both"/>
      </w:pPr>
      <w:r>
        <w:rPr>
          <w:rFonts w:ascii="Times New Roman" w:cs="Times New Roman" w:eastAsia="Times New Roman" w:hAnsi="Times New Roman"/>
          <w:b/>
          <w:bCs/>
          <w:sz w:val="24"/>
          <w:szCs w:val="24"/>
        </w:rPr>
      </w:r>
    </w:p>
    <w:p>
      <w:pPr>
        <w:pStyle w:val="style0"/>
        <w:shd w:fill="FFFFFF" w:val="clear"/>
        <w:spacing w:after="0" w:before="0" w:line="360" w:lineRule="auto"/>
        <w:jc w:val="both"/>
      </w:pPr>
      <w:r>
        <w:rPr>
          <w:rFonts w:ascii="Times New Roman" w:cs="Times New Roman" w:eastAsia="Times New Roman" w:hAnsi="Times New Roman"/>
          <w:b/>
          <w:bCs/>
          <w:sz w:val="24"/>
          <w:szCs w:val="24"/>
        </w:rPr>
        <w:t>MODULO I</w:t>
      </w:r>
    </w:p>
    <w:p>
      <w:pPr>
        <w:pStyle w:val="style0"/>
        <w:shd w:fill="FFFFFF" w:val="clear"/>
        <w:spacing w:after="0" w:before="0" w:line="360" w:lineRule="auto"/>
        <w:jc w:val="both"/>
      </w:pPr>
      <w:r>
        <w:rPr>
          <w:rFonts w:ascii="Times New Roman" w:cs="Times New Roman" w:eastAsia="Times New Roman" w:hAnsi="Times New Roman"/>
          <w:sz w:val="24"/>
          <w:szCs w:val="24"/>
        </w:rPr>
        <w:t>-“El concepto de derechos humanos”. Nikken, Pedro. IIDH (1997), Estudios básicos de derechos humanos I. San José, Costa Rica. Disponible en</w:t>
      </w:r>
      <w:r>
        <w:rPr>
          <w:rFonts w:ascii="Times New Roman" w:cs="Times New Roman" w:hAnsi="Times New Roman"/>
          <w:color w:val="993300"/>
          <w:sz w:val="24"/>
          <w:szCs w:val="24"/>
        </w:rPr>
        <w:t xml:space="preserve"> </w:t>
      </w:r>
      <w:hyperlink r:id="rId2">
        <w:r>
          <w:rPr>
            <w:rStyle w:val="style19"/>
            <w:rFonts w:ascii="Times New Roman" w:cs="Times New Roman" w:hAnsi="Times New Roman"/>
            <w:sz w:val="24"/>
            <w:szCs w:val="24"/>
          </w:rPr>
          <w:t>http://www.derechoshumanos.unlp.edu.ar/assets/files/documentos/el-concepto-de-derechos-humanos.pdf</w:t>
        </w:r>
      </w:hyperlink>
    </w:p>
    <w:p>
      <w:pPr>
        <w:pStyle w:val="style0"/>
        <w:shd w:fill="FFFFFF" w:val="clear"/>
        <w:spacing w:after="0" w:before="0" w:line="360" w:lineRule="auto"/>
        <w:jc w:val="both"/>
      </w:pPr>
      <w:r>
        <w:rPr>
          <w:rFonts w:ascii="Times New Roman" w:cs="Times New Roman" w:eastAsia="Times New Roman" w:hAnsi="Times New Roman"/>
          <w:sz w:val="24"/>
          <w:szCs w:val="24"/>
        </w:rPr>
        <w:t>-“Manual de Derechos Humanos”. MANILI, Pablo. (2017)</w:t>
        <w:br/>
        <w:t>Ed. La Ley.</w:t>
      </w:r>
    </w:p>
    <w:p>
      <w:pPr>
        <w:pStyle w:val="style0"/>
        <w:shd w:fill="FFFFFF" w:val="clear"/>
        <w:spacing w:after="0" w:before="0" w:line="360" w:lineRule="auto"/>
        <w:jc w:val="both"/>
      </w:pPr>
      <w:r>
        <w:rPr>
          <w:rFonts w:ascii="Times New Roman" w:cs="Times New Roman" w:hAnsi="Times New Roman"/>
          <w:sz w:val="24"/>
          <w:szCs w:val="24"/>
        </w:rPr>
        <w:t xml:space="preserve">-“Cuadernillo Introducción a los Derechos Humanos”. (2012) Subsecretaría de Promoción de Derechos Humanos, Ministerio de Justicia y Derechos Humanos de la Nación Argentina. Disponible en </w:t>
      </w:r>
      <w:hyperlink r:id="rId3">
        <w:r>
          <w:rPr>
            <w:rStyle w:val="style19"/>
            <w:rFonts w:ascii="Times New Roman" w:cs="Times New Roman" w:hAnsi="Times New Roman"/>
            <w:sz w:val="24"/>
            <w:szCs w:val="24"/>
          </w:rPr>
          <w:t>http://capacitacion.hcdn.gob.ar/wp-content/uploads/2016/08/Cuadernillo-Introducci%C3%B3n-ddhh-final.pdf</w:t>
        </w:r>
      </w:hyperlink>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hAnsi="Times New Roman"/>
          <w:b/>
          <w:sz w:val="24"/>
          <w:szCs w:val="24"/>
        </w:rPr>
        <w:t>MODULO II</w:t>
      </w:r>
    </w:p>
    <w:p>
      <w:pPr>
        <w:pStyle w:val="style0"/>
        <w:shd w:fill="FFFFFF" w:val="clear"/>
        <w:spacing w:after="0" w:before="0" w:line="360" w:lineRule="auto"/>
        <w:jc w:val="both"/>
      </w:pPr>
      <w:r>
        <w:rPr>
          <w:rFonts w:ascii="Times New Roman" w:cs="Times New Roman" w:hAnsi="Times New Roman"/>
          <w:sz w:val="24"/>
          <w:szCs w:val="24"/>
        </w:rPr>
        <w:t xml:space="preserve">- Convención Internacional sobre los Derechos del Niño. Adoptada por la Organización de las Naciones Unidas (ONU) el 20 de noviembre de 1989 </w:t>
      </w:r>
    </w:p>
    <w:p>
      <w:pPr>
        <w:pStyle w:val="style0"/>
        <w:shd w:fill="FFFFFF" w:val="clear"/>
        <w:spacing w:after="0" w:before="0" w:line="360" w:lineRule="auto"/>
        <w:jc w:val="both"/>
      </w:pPr>
      <w:r>
        <w:rPr>
          <w:rFonts w:ascii="Times New Roman" w:cs="Times New Roman" w:hAnsi="Times New Roman"/>
          <w:sz w:val="24"/>
          <w:szCs w:val="24"/>
        </w:rPr>
        <w:t xml:space="preserve">- Código Civil y Comercial de la Nación. Ley 26994 – </w:t>
      </w:r>
    </w:p>
    <w:p>
      <w:pPr>
        <w:pStyle w:val="style0"/>
        <w:shd w:fill="FFFFFF" w:val="clear"/>
        <w:spacing w:after="0" w:before="0" w:line="360" w:lineRule="auto"/>
        <w:jc w:val="both"/>
      </w:pPr>
      <w:r>
        <w:rPr>
          <w:rFonts w:ascii="Times New Roman" w:cs="Times New Roman" w:hAnsi="Times New Roman"/>
          <w:sz w:val="24"/>
          <w:szCs w:val="24"/>
        </w:rPr>
        <w:t xml:space="preserve">Ley n° 26061 de Protección Integral de los Derechos de los niños, niñas y adolescentes. </w:t>
      </w:r>
    </w:p>
    <w:p>
      <w:pPr>
        <w:pStyle w:val="style0"/>
        <w:shd w:fill="FFFFFF" w:val="clear"/>
        <w:spacing w:after="0" w:before="0" w:line="360" w:lineRule="auto"/>
        <w:jc w:val="both"/>
      </w:pPr>
      <w:r>
        <w:rPr>
          <w:rFonts w:ascii="Times New Roman" w:cs="Times New Roman" w:hAnsi="Times New Roman"/>
          <w:sz w:val="24"/>
          <w:szCs w:val="24"/>
        </w:rPr>
        <w:t xml:space="preserve">- Ley D nº 4109 de Protección Integral de la Niñez de Rio Negro. </w:t>
      </w:r>
    </w:p>
    <w:p>
      <w:pPr>
        <w:pStyle w:val="style0"/>
        <w:shd w:fill="FFFFFF" w:val="clear"/>
        <w:spacing w:after="0" w:before="0" w:line="360" w:lineRule="auto"/>
        <w:jc w:val="both"/>
      </w:pPr>
      <w:r>
        <w:rPr>
          <w:rFonts w:ascii="Times New Roman" w:cs="Times New Roman" w:hAnsi="Times New Roman"/>
          <w:sz w:val="24"/>
          <w:szCs w:val="24"/>
        </w:rPr>
        <w:t xml:space="preserve">- “Desarrollo de Sistemas de Protección Integral de Derechos en el Ámbito Local. Cuadernillo nº II.” Dra. María Eleonora MURGA, Lic. María Griselda ANZOLA. Secretaría Nacional de Niñez, Adolescencia y Familia del Ministerio de Desarrollo Social de la Nación y Facultad de Trabajo Social de la Universidad Nacional de Entre </w:t>
      </w:r>
      <w:r>
        <w:rPr>
          <w:rFonts w:ascii="Times New Roman" w:cs="Times New Roman" w:hAnsi="Times New Roman"/>
          <w:sz w:val="24"/>
          <w:szCs w:val="24"/>
        </w:rPr>
        <w:t xml:space="preserve">Ríos. Disponible en: </w:t>
      </w:r>
      <w:hyperlink r:id="rId4">
        <w:r>
          <w:rPr>
            <w:rStyle w:val="style19"/>
            <w:rFonts w:ascii="Times New Roman" w:cs="Times New Roman" w:hAnsi="Times New Roman"/>
            <w:sz w:val="24"/>
            <w:szCs w:val="24"/>
          </w:rPr>
          <w:t>https://www.desarrollosocial.gob.ar/wp-content/uploads/2015/05/Sistemasde-Proteccion-Integral-de-Derechos-en-el-Ambito-Local.1.pdf</w:t>
        </w:r>
      </w:hyperlink>
      <w:r>
        <w:rPr>
          <w:rFonts w:ascii="Times New Roman" w:cs="Times New Roman" w:hAnsi="Times New Roman"/>
          <w:sz w:val="24"/>
          <w:szCs w:val="24"/>
        </w:rPr>
        <w:t xml:space="preserve"> </w:t>
      </w:r>
    </w:p>
    <w:p>
      <w:pPr>
        <w:pStyle w:val="style0"/>
        <w:shd w:fill="FFFFFF" w:val="clear"/>
        <w:spacing w:after="0" w:before="0" w:line="360" w:lineRule="auto"/>
        <w:jc w:val="both"/>
      </w:pPr>
      <w:r>
        <w:rPr>
          <w:rFonts w:ascii="Times New Roman" w:cs="Times New Roman" w:hAnsi="Times New Roman"/>
          <w:sz w:val="24"/>
          <w:szCs w:val="24"/>
        </w:rPr>
        <w:t xml:space="preserve">- Observación General n° 14 sobre “El derecho del niño a que su interés superior sea una consideración primordial” del Comité sobre Derechos del Niño ONU. </w:t>
      </w:r>
    </w:p>
    <w:p>
      <w:pPr>
        <w:pStyle w:val="style0"/>
        <w:shd w:fill="FFFFFF" w:val="clear"/>
        <w:spacing w:after="0" w:before="0" w:line="360" w:lineRule="auto"/>
        <w:jc w:val="both"/>
      </w:pPr>
      <w:r>
        <w:rPr>
          <w:rFonts w:ascii="Times New Roman" w:cs="Times New Roman" w:hAnsi="Times New Roman"/>
          <w:sz w:val="24"/>
          <w:szCs w:val="24"/>
        </w:rPr>
        <w:t>- Observación General nº 12 (2009): “El derecho del niño a ser escuchado” del Comité sobre Derechos del Niño ONU.</w:t>
      </w:r>
    </w:p>
    <w:p>
      <w:pPr>
        <w:pStyle w:val="style0"/>
        <w:shd w:fill="FFFFFF" w:val="clear"/>
        <w:spacing w:after="0" w:before="0" w:line="360" w:lineRule="auto"/>
        <w:jc w:val="both"/>
      </w:pPr>
      <w:r>
        <w:rPr>
          <w:rFonts w:ascii="Times New Roman" w:cs="Times New Roman" w:hAnsi="Times New Roman"/>
          <w:sz w:val="24"/>
          <w:szCs w:val="24"/>
        </w:rPr>
        <w:t>- “Convención sobre los derechos del niño. Comentada, anotada y concordada”. BELOFF, Mary; DEYMONNAZ, Virginia; FREEDMAN, Diego, HERRERA, Marisa. (2012) Ed. La ley.</w:t>
      </w:r>
    </w:p>
    <w:p>
      <w:pPr>
        <w:pStyle w:val="style0"/>
        <w:shd w:fill="FFFFFF" w:val="clear"/>
        <w:spacing w:after="0" w:before="0" w:line="360" w:lineRule="auto"/>
        <w:jc w:val="both"/>
      </w:pPr>
      <w:r>
        <w:rPr>
          <w:rFonts w:ascii="Times New Roman" w:cs="Times New Roman" w:hAnsi="Times New Roman"/>
          <w:sz w:val="24"/>
          <w:szCs w:val="24"/>
        </w:rPr>
      </w:r>
    </w:p>
    <w:p>
      <w:pPr>
        <w:pStyle w:val="style0"/>
        <w:shd w:fill="FFFFFF" w:val="clear"/>
        <w:spacing w:after="0" w:before="0" w:line="360" w:lineRule="auto"/>
        <w:jc w:val="both"/>
      </w:pPr>
      <w:r>
        <w:rPr>
          <w:rFonts w:ascii="Times New Roman" w:cs="Times New Roman" w:hAnsi="Times New Roman"/>
          <w:b/>
          <w:bCs/>
          <w:sz w:val="24"/>
          <w:szCs w:val="24"/>
        </w:rPr>
        <w:t>MODULO III</w:t>
      </w:r>
    </w:p>
    <w:p>
      <w:pPr>
        <w:pStyle w:val="style0"/>
        <w:shd w:fill="FFFFFF" w:val="clear"/>
        <w:spacing w:after="0" w:before="0" w:line="360" w:lineRule="auto"/>
        <w:jc w:val="both"/>
      </w:pPr>
      <w:r>
        <w:rPr>
          <w:rFonts w:ascii="Times New Roman" w:cs="Times New Roman" w:hAnsi="Times New Roman"/>
          <w:sz w:val="24"/>
          <w:szCs w:val="24"/>
        </w:rPr>
        <w:t xml:space="preserve">-“Violencia de género y violencia doméstica. Responsabilidad por daños”. Graciela MEDINA (2013). Ed. Rubinzal Culzoni. </w:t>
      </w:r>
    </w:p>
    <w:p>
      <w:pPr>
        <w:pStyle w:val="style0"/>
        <w:shd w:fill="FFFFFF" w:val="clear"/>
        <w:spacing w:after="0" w:before="0" w:line="360" w:lineRule="auto"/>
        <w:jc w:val="both"/>
      </w:pPr>
      <w:r>
        <w:rPr>
          <w:rFonts w:ascii="Times New Roman" w:cs="Times New Roman" w:hAnsi="Times New Roman"/>
          <w:sz w:val="24"/>
          <w:szCs w:val="24"/>
        </w:rPr>
        <w:t xml:space="preserve">-Ley 26485 </w:t>
      </w:r>
      <w:r>
        <w:rPr>
          <w:rFonts w:ascii="Times New Roman" w:cs="Times New Roman" w:eastAsia="Times New Roman" w:hAnsi="Times New Roman"/>
          <w:sz w:val="24"/>
          <w:szCs w:val="24"/>
        </w:rPr>
        <w:t>de protección integral para prevenir, sancionar y erradicar la violencia contra las mujeres en todos los ámbitos en que desarrollan sus relaciones interpersonales,</w:t>
      </w:r>
      <w:r>
        <w:rPr>
          <w:rFonts w:ascii="Times New Roman" w:cs="Times New Roman" w:hAnsi="Times New Roman"/>
          <w:sz w:val="24"/>
          <w:szCs w:val="24"/>
        </w:rPr>
        <w:t xml:space="preserve"> y su </w:t>
      </w:r>
      <w:r>
        <w:rPr>
          <w:rFonts w:ascii="Times New Roman" w:cs="Times New Roman" w:eastAsia="Times New Roman" w:hAnsi="Times New Roman"/>
          <w:sz w:val="24"/>
          <w:szCs w:val="24"/>
        </w:rPr>
        <w:t xml:space="preserve">Decreto Reglamentario 1011/2010. </w:t>
      </w:r>
    </w:p>
    <w:p>
      <w:pPr>
        <w:pStyle w:val="style0"/>
        <w:shd w:fill="FFFFFF" w:val="clear"/>
        <w:spacing w:after="0" w:before="0" w:line="360" w:lineRule="auto"/>
        <w:jc w:val="both"/>
      </w:pPr>
      <w:r>
        <w:rPr>
          <w:rFonts w:ascii="Times New Roman" w:cs="Times New Roman" w:eastAsia="Times New Roman" w:hAnsi="Times New Roman"/>
          <w:sz w:val="24"/>
          <w:szCs w:val="24"/>
        </w:rPr>
        <w:t>-Ley D nº 4650.</w:t>
      </w:r>
    </w:p>
    <w:p>
      <w:pPr>
        <w:pStyle w:val="style0"/>
        <w:shd w:fill="FFFFFF" w:val="clear"/>
        <w:spacing w:after="0" w:before="0" w:line="360" w:lineRule="auto"/>
        <w:jc w:val="both"/>
      </w:pPr>
      <w:r>
        <w:rPr>
          <w:rFonts w:ascii="Times New Roman" w:cs="Times New Roman" w:eastAsia="Times New Roman" w:hAnsi="Times New Roman"/>
          <w:sz w:val="24"/>
          <w:szCs w:val="24"/>
        </w:rPr>
        <w:t>- Ley D nº 3040 de Protección Integral contra la Violencia en el ámbito de las Relaciones Familiares</w:t>
      </w:r>
    </w:p>
    <w:p>
      <w:pPr>
        <w:pStyle w:val="style0"/>
        <w:shd w:fill="FFFFFF" w:val="clear"/>
        <w:spacing w:after="0" w:before="0" w:line="360" w:lineRule="auto"/>
        <w:jc w:val="both"/>
      </w:pPr>
      <w:r>
        <w:rPr>
          <w:rFonts w:ascii="Times New Roman" w:cs="Times New Roman" w:eastAsia="Times New Roman" w:hAnsi="Times New Roman"/>
          <w:sz w:val="24"/>
          <w:szCs w:val="24"/>
        </w:rPr>
        <w:t>-Ley Nº 26.743 de Identidad de Género y Decreto reglamentario 1007/2012</w:t>
      </w:r>
    </w:p>
    <w:p>
      <w:pPr>
        <w:pStyle w:val="style0"/>
        <w:shd w:fill="FFFFFF" w:val="clear"/>
        <w:spacing w:after="0" w:before="0" w:line="360" w:lineRule="auto"/>
        <w:jc w:val="both"/>
      </w:pPr>
      <w:r>
        <w:rPr>
          <w:rFonts w:ascii="Times New Roman" w:cs="Times New Roman" w:hAnsi="Times New Roman"/>
          <w:sz w:val="24"/>
          <w:szCs w:val="24"/>
        </w:rPr>
        <w:t>- Principios de Yogyakarta de ONU</w:t>
      </w:r>
    </w:p>
    <w:p>
      <w:pPr>
        <w:pStyle w:val="style0"/>
        <w:shd w:fill="FFFFFF" w:val="clear"/>
        <w:spacing w:after="0" w:before="0" w:line="360" w:lineRule="auto"/>
        <w:jc w:val="both"/>
      </w:pPr>
      <w:r>
        <w:rPr>
          <w:rFonts w:ascii="Times New Roman" w:cs="Times New Roman" w:hAnsi="Times New Roman"/>
          <w:sz w:val="24"/>
          <w:szCs w:val="24"/>
        </w:rPr>
        <w:t>- “Suplemento especial de ed. La Ley: Identidad de genero y Muerte Digna” (2012) Dir. MEDINA, Graciela.</w:t>
      </w:r>
    </w:p>
    <w:p>
      <w:pPr>
        <w:pStyle w:val="style0"/>
        <w:shd w:fill="FFFFFF" w:val="clear"/>
        <w:spacing w:after="0" w:before="0" w:line="360" w:lineRule="auto"/>
        <w:jc w:val="both"/>
      </w:pPr>
      <w:r>
        <w:rPr>
          <w:rFonts w:ascii="Times New Roman" w:cs="Times New Roman" w:hAnsi="Times New Roman"/>
          <w:sz w:val="24"/>
          <w:szCs w:val="24"/>
        </w:rPr>
        <w:t xml:space="preserve">- “La mujer en el Código Civil y Comercial”. MEDINA, Graciela. AR/DOC/330/2016. Publicado en: LA LEY 17/02/2016. Disponible en </w:t>
      </w:r>
      <w:hyperlink r:id="rId5">
        <w:r>
          <w:rPr>
            <w:rStyle w:val="style19"/>
            <w:rFonts w:ascii="Times New Roman" w:cs="Times New Roman" w:hAnsi="Times New Roman"/>
            <w:sz w:val="24"/>
            <w:szCs w:val="24"/>
          </w:rPr>
          <w:t>http://thomsonreuterslatam.com/2016/03/la-mujer-en-el-codigo-civil-y-comercial-autor-medina-graciela/</w:t>
        </w:r>
      </w:hyperlink>
    </w:p>
    <w:p>
      <w:pPr>
        <w:pStyle w:val="style0"/>
        <w:shd w:fill="FFFFFF" w:val="clear"/>
        <w:spacing w:after="0" w:before="0" w:line="360" w:lineRule="auto"/>
        <w:jc w:val="both"/>
      </w:pPr>
      <w:r>
        <w:rPr>
          <w:rFonts w:ascii="Times New Roman" w:cs="Times New Roman" w:hAnsi="Times New Roman"/>
          <w:sz w:val="24"/>
          <w:szCs w:val="24"/>
        </w:rPr>
        <w:t xml:space="preserve">- </w:t>
      </w:r>
      <w:r>
        <w:rPr>
          <w:rFonts w:ascii="Times New Roman" w:cs="Times New Roman" w:hAnsi="Times New Roman"/>
          <w:color w:val="000000"/>
          <w:sz w:val="24"/>
          <w:szCs w:val="24"/>
        </w:rPr>
        <w:t>Convención Interamericana para Prevenir, Sancionar y Erradicar la Violencia contra La Mujer - "Convención de Belem do Pará".</w:t>
      </w:r>
    </w:p>
    <w:p>
      <w:pPr>
        <w:pStyle w:val="style0"/>
        <w:shd w:fill="FFFFFF" w:val="clear"/>
        <w:spacing w:after="0" w:before="0" w:line="360" w:lineRule="auto"/>
        <w:jc w:val="both"/>
      </w:pPr>
      <w:r>
        <w:rPr>
          <w:rFonts w:ascii="Times New Roman" w:cs="Times New Roman" w:eastAsia="Times New Roman" w:hAnsi="Times New Roman"/>
          <w:sz w:val="24"/>
          <w:szCs w:val="24"/>
        </w:rPr>
        <w:t>- Convención sobre la Eliminación de toda forma de Discriminación contra la Mujer de ONU.</w:t>
      </w:r>
    </w:p>
    <w:p>
      <w:pPr>
        <w:pStyle w:val="style0"/>
        <w:shd w:fill="FFFFFF" w:val="clear"/>
        <w:spacing w:after="0" w:before="0" w:line="360" w:lineRule="auto"/>
        <w:jc w:val="both"/>
      </w:pPr>
      <w:r>
        <w:rPr>
          <w:rFonts w:ascii="Times New Roman" w:cs="Times New Roman" w:eastAsia="Times New Roman" w:hAnsi="Times New Roman"/>
          <w:sz w:val="24"/>
          <w:szCs w:val="24"/>
        </w:rPr>
        <w:t>-Ley 26743 de Identidad de Género, y Decreto reglamentario 1007/2012.</w:t>
      </w:r>
    </w:p>
    <w:p>
      <w:pPr>
        <w:pStyle w:val="style0"/>
        <w:shd w:fill="FFFFFF" w:val="clear"/>
        <w:spacing w:after="0" w:before="0" w:line="360" w:lineRule="auto"/>
        <w:jc w:val="both"/>
      </w:pPr>
      <w:r>
        <w:rPr>
          <w:rFonts w:ascii="Times New Roman" w:cs="Times New Roman" w:eastAsia="Times New Roman" w:hAnsi="Times New Roman"/>
          <w:sz w:val="24"/>
          <w:szCs w:val="24"/>
        </w:rPr>
        <w:t>-</w:t>
      </w:r>
      <w:r>
        <w:rPr>
          <w:rFonts w:ascii="Times New Roman" w:cs="Times New Roman" w:hAnsi="Times New Roman"/>
          <w:sz w:val="24"/>
          <w:szCs w:val="24"/>
        </w:rPr>
        <w:t xml:space="preserve"> Principios de Yogyakarta de ONU.</w:t>
      </w:r>
    </w:p>
    <w:p>
      <w:pPr>
        <w:pStyle w:val="style0"/>
        <w:shd w:fill="FFFFFF" w:val="clear"/>
        <w:spacing w:after="0" w:before="0" w:line="360" w:lineRule="auto"/>
        <w:jc w:val="both"/>
      </w:pPr>
      <w:r>
        <w:rPr>
          <w:rFonts w:ascii="Times New Roman" w:cs="Times New Roman" w:eastAsia="Times New Roman" w:hAnsi="Times New Roman"/>
          <w:sz w:val="24"/>
          <w:szCs w:val="24"/>
        </w:rPr>
        <w:t>- “</w:t>
      </w:r>
      <w:r>
        <w:rPr>
          <w:rFonts w:ascii="Times New Roman" w:cs="Times New Roman" w:hAnsi="Times New Roman"/>
          <w:sz w:val="24"/>
          <w:szCs w:val="24"/>
        </w:rPr>
        <w:t xml:space="preserve">Guía para la aplicación de la Convención Interamericana para Prevenir, Sancionar y Erradicar la Violencia contra la Mujer (Convención de Belém do Pará)” (2014) (OAS. Documentos oficiales; OEA/Ser.L/II.6.14). Disponible en </w:t>
      </w:r>
      <w:hyperlink r:id="rId6">
        <w:r>
          <w:rPr>
            <w:rStyle w:val="style19"/>
            <w:rFonts w:ascii="Times New Roman" w:cs="Times New Roman" w:hAnsi="Times New Roman"/>
            <w:sz w:val="24"/>
            <w:szCs w:val="24"/>
          </w:rPr>
          <w:t>http://www.oas.org/es/mesecvi/docs/bdp-guiaaplicacion-web-es.pdf</w:t>
        </w:r>
      </w:hyperlink>
    </w:p>
    <w:p>
      <w:pPr>
        <w:pStyle w:val="style0"/>
        <w:shd w:fill="FFFFFF" w:val="clear"/>
        <w:spacing w:after="0" w:before="0" w:line="360" w:lineRule="auto"/>
        <w:jc w:val="both"/>
      </w:pPr>
      <w:r>
        <w:rPr>
          <w:rFonts w:ascii="Times New Roman" w:cs="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hAnsi="Times New Roman"/>
          <w:b/>
          <w:bCs/>
          <w:sz w:val="24"/>
          <w:szCs w:val="24"/>
        </w:rPr>
        <w:t>MODULO IV</w:t>
      </w:r>
    </w:p>
    <w:p>
      <w:pPr>
        <w:pStyle w:val="style0"/>
        <w:shd w:fill="FFFFFF" w:val="clear"/>
        <w:spacing w:after="0" w:before="0" w:line="360" w:lineRule="auto"/>
        <w:jc w:val="both"/>
      </w:pPr>
      <w:r>
        <w:rPr>
          <w:rFonts w:ascii="Times New Roman" w:cs="Times New Roman" w:eastAsia="Times New Roman" w:hAnsi="Times New Roman"/>
          <w:sz w:val="24"/>
          <w:szCs w:val="24"/>
        </w:rPr>
        <w:t>-Cien Reglas de Brasilia sobre el Acceso a la Justicia de las Personas en Condición de Vulnerabilidad.</w:t>
      </w:r>
    </w:p>
    <w:p>
      <w:pPr>
        <w:pStyle w:val="style0"/>
        <w:shd w:fill="FFFFFF" w:val="clear"/>
        <w:spacing w:after="0" w:before="0" w:line="360" w:lineRule="auto"/>
        <w:jc w:val="both"/>
      </w:pPr>
      <w:r>
        <w:rPr>
          <w:rFonts w:ascii="Times New Roman" w:cs="Times New Roman" w:eastAsia="Times New Roman" w:hAnsi="Times New Roman"/>
          <w:sz w:val="24"/>
          <w:szCs w:val="24"/>
        </w:rPr>
        <w:t>- Ley 26378 Convención sobre los derechos de las personas con discapacidad</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-Ley 22431 Sistema de protección integral de los discapacitados. </w:t>
      </w:r>
    </w:p>
    <w:p>
      <w:pPr>
        <w:pStyle w:val="style0"/>
        <w:shd w:fill="FFFFFF" w:val="clear"/>
        <w:spacing w:after="0" w:before="0" w:line="360" w:lineRule="auto"/>
        <w:jc w:val="both"/>
      </w:pPr>
      <w:r>
        <w:rPr>
          <w:rFonts w:ascii="Times New Roman" w:cs="Times New Roman" w:eastAsia="Times New Roman" w:hAnsi="Times New Roman"/>
          <w:sz w:val="24"/>
          <w:szCs w:val="24"/>
        </w:rPr>
        <w:t>-Ley 24901 Sistema de prestaciones básicas en habilitación y rehabilitación integral.</w:t>
      </w:r>
    </w:p>
    <w:p>
      <w:pPr>
        <w:pStyle w:val="style0"/>
        <w:shd w:fill="FFFFFF" w:val="clear"/>
        <w:spacing w:after="0" w:before="0" w:line="360" w:lineRule="auto"/>
        <w:jc w:val="both"/>
      </w:pPr>
      <w:r>
        <w:rPr>
          <w:rFonts w:ascii="Times New Roman" w:cs="Times New Roman" w:eastAsia="Times New Roman" w:hAnsi="Times New Roman"/>
          <w:sz w:val="24"/>
          <w:szCs w:val="24"/>
        </w:rPr>
        <w:t>-Ley 26657 de Salud Mental</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-Ley 2440 de Rio Negro. </w:t>
      </w:r>
    </w:p>
    <w:p>
      <w:pPr>
        <w:pStyle w:val="style0"/>
        <w:shd w:fill="FFFFFF" w:val="clear"/>
        <w:spacing w:after="0" w:before="0" w:line="360" w:lineRule="auto"/>
        <w:jc w:val="both"/>
      </w:pPr>
      <w:r>
        <w:rPr>
          <w:rFonts w:ascii="Times New Roman" w:cs="Times New Roman" w:eastAsia="Times New Roman" w:hAnsi="Times New Roman"/>
          <w:sz w:val="24"/>
          <w:szCs w:val="24"/>
        </w:rPr>
        <w:t>- Ley 5349 Salud Mental Rio Negro.</w:t>
      </w:r>
    </w:p>
    <w:p>
      <w:pPr>
        <w:pStyle w:val="style0"/>
        <w:shd w:fill="FFFFFF" w:val="clear"/>
        <w:spacing w:after="0" w:before="0" w:line="360" w:lineRule="auto"/>
        <w:jc w:val="both"/>
      </w:pPr>
      <w:r>
        <w:rPr>
          <w:rFonts w:ascii="Times New Roman" w:cs="Times New Roman" w:eastAsia="Times New Roman" w:hAnsi="Times New Roman"/>
          <w:sz w:val="24"/>
          <w:szCs w:val="24"/>
        </w:rPr>
        <w:t>- “Convención Derechos De Las Personas Con Discapacidad (Ley 26.378) Comentada”. ROSALES, Pablo O. (2012). Ed. Abeledo Perrot.</w:t>
      </w:r>
    </w:p>
    <w:p>
      <w:pPr>
        <w:pStyle w:val="style0"/>
        <w:shd w:fill="FFFFFF" w:val="clear"/>
        <w:spacing w:after="0" w:before="0" w:line="360" w:lineRule="auto"/>
        <w:jc w:val="both"/>
      </w:pPr>
      <w:r>
        <w:rPr>
          <w:rFonts w:ascii="Times New Roman" w:cs="Times New Roman" w:eastAsia="Times New Roman" w:hAnsi="Times New Roman"/>
          <w:sz w:val="24"/>
          <w:szCs w:val="24"/>
          <w:lang w:val="es-ES"/>
        </w:rPr>
      </w:r>
    </w:p>
    <w:p>
      <w:pPr>
        <w:pStyle w:val="style0"/>
        <w:shd w:fill="FFFFFF" w:val="clear"/>
        <w:spacing w:after="0" w:before="0" w:line="360" w:lineRule="auto"/>
        <w:jc w:val="both"/>
      </w:pPr>
      <w:r>
        <w:rPr>
          <w:rFonts w:ascii="Times New Roman" w:cs="Times New Roman" w:hAnsi="Times New Roman"/>
          <w:sz w:val="24"/>
          <w:szCs w:val="24"/>
        </w:rPr>
      </w:r>
    </w:p>
    <w:p>
      <w:pPr>
        <w:pStyle w:val="style0"/>
        <w:shd w:fill="FFFFFF" w:val="clear"/>
        <w:spacing w:after="0" w:before="0" w:line="360" w:lineRule="auto"/>
        <w:jc w:val="both"/>
      </w:pPr>
      <w:r>
        <w:rPr>
          <w:rFonts w:ascii="Times New Roman" w:cs="Times New Roman" w:hAnsi="Times New Roman"/>
          <w:b/>
          <w:bCs/>
          <w:sz w:val="24"/>
          <w:szCs w:val="24"/>
        </w:rPr>
        <w:t>MODULO V</w:t>
      </w:r>
    </w:p>
    <w:p>
      <w:pPr>
        <w:pStyle w:val="style0"/>
        <w:shd w:fill="FFFFFF" w:val="clear"/>
        <w:spacing w:after="0" w:before="0" w:line="360" w:lineRule="auto"/>
        <w:jc w:val="both"/>
      </w:pPr>
      <w:r>
        <w:rPr>
          <w:rFonts w:ascii="Times New Roman" w:cs="Times New Roman" w:hAnsi="Times New Roman"/>
          <w:sz w:val="24"/>
          <w:szCs w:val="24"/>
        </w:rPr>
        <w:t xml:space="preserve"> </w:t>
      </w:r>
      <w:r>
        <w:rPr>
          <w:rFonts w:ascii="Times New Roman" w:cs="Times New Roman" w:hAnsi="Times New Roman"/>
          <w:sz w:val="24"/>
          <w:szCs w:val="24"/>
        </w:rPr>
        <w:t xml:space="preserve">-“Los adultos mayores como sujetos vulnerables (a propósito de la Convención Interamericana sobre la Protección de los Derechos Humanos de las Personas Mayores)” GOLDFARB, Mauricio. (2016) Revista El derecho. ISSN 1666-8987. Disponible en </w:t>
      </w:r>
      <w:hyperlink r:id="rId7">
        <w:r>
          <w:rPr>
            <w:rStyle w:val="style19"/>
            <w:rFonts w:ascii="Times New Roman" w:cs="Times New Roman" w:hAnsi="Times New Roman"/>
            <w:sz w:val="24"/>
            <w:szCs w:val="24"/>
          </w:rPr>
          <w:t>http://www.elderecho.com.ar/includes/pdf/diarios/2016/02/25022016.pdf</w:t>
        </w:r>
      </w:hyperlink>
    </w:p>
    <w:p>
      <w:pPr>
        <w:pStyle w:val="style0"/>
        <w:shd w:fill="FFFFFF" w:val="clear"/>
        <w:spacing w:after="0" w:before="0" w:line="360" w:lineRule="auto"/>
        <w:jc w:val="both"/>
      </w:pPr>
      <w:r>
        <w:rPr>
          <w:rFonts w:ascii="Times New Roman" w:cs="Times New Roman" w:hAnsi="Times New Roman"/>
          <w:sz w:val="24"/>
          <w:szCs w:val="24"/>
        </w:rPr>
        <w:t xml:space="preserve">-“Los derechos de las personas mayores en el siglo XXI: situación, experiencia y desafíos”. HUENCHUAN, Sandra (ed.) (2012) México, Cepal. Disponible en </w:t>
      </w:r>
      <w:hyperlink r:id="rId8">
        <w:r>
          <w:rPr>
            <w:rStyle w:val="style19"/>
            <w:rFonts w:ascii="Times New Roman" w:cs="Times New Roman" w:hAnsi="Times New Roman"/>
            <w:sz w:val="24"/>
            <w:szCs w:val="24"/>
          </w:rPr>
          <w:t>https://repositorio.cepal.org/bitstream/handle/11362/1467/S301435D4312012_es.pdf;jsessionid=6032EB69AA44EA5544795891B4F9DEA8?sequence=1</w:t>
        </w:r>
      </w:hyperlink>
    </w:p>
    <w:p>
      <w:pPr>
        <w:pStyle w:val="style0"/>
        <w:shd w:fill="FFFFFF" w:val="clear"/>
        <w:spacing w:after="0" w:before="0" w:line="360" w:lineRule="auto"/>
        <w:jc w:val="both"/>
      </w:pPr>
      <w:r>
        <w:rPr>
          <w:rFonts w:ascii="Times New Roman" w:cs="Times New Roman" w:hAnsi="Times New Roman"/>
          <w:sz w:val="24"/>
          <w:szCs w:val="24"/>
        </w:rPr>
        <w:t xml:space="preserve">-“Derechos humanos de las personas mayores en la nueva Convención Americana y sus implicancias bioéticas”. (2015). </w:t>
      </w:r>
      <w:r>
        <w:rPr>
          <w:rFonts w:ascii="Times New Roman" w:cs="Times New Roman" w:hAnsi="Times New Roman"/>
          <w:i/>
          <w:iCs/>
          <w:sz w:val="24"/>
          <w:szCs w:val="24"/>
        </w:rPr>
        <w:t>Revista Latinoamericana De Bioética</w:t>
      </w:r>
      <w:r>
        <w:rPr>
          <w:rFonts w:ascii="Times New Roman" w:cs="Times New Roman" w:hAnsi="Times New Roman"/>
          <w:sz w:val="24"/>
          <w:szCs w:val="24"/>
        </w:rPr>
        <w:t>, </w:t>
      </w:r>
      <w:r>
        <w:rPr>
          <w:rFonts w:ascii="Times New Roman" w:cs="Times New Roman" w:hAnsi="Times New Roman"/>
          <w:i/>
          <w:iCs/>
          <w:sz w:val="24"/>
          <w:szCs w:val="24"/>
        </w:rPr>
        <w:t xml:space="preserve">16 </w:t>
      </w:r>
      <w:r>
        <w:rPr>
          <w:rFonts w:ascii="Times New Roman" w:cs="Times New Roman" w:hAnsi="Times New Roman"/>
          <w:sz w:val="24"/>
          <w:szCs w:val="24"/>
        </w:rPr>
        <w:t xml:space="preserve">(30-1), 38-59. Disponible en  </w:t>
      </w:r>
      <w:hyperlink r:id="rId9">
        <w:r>
          <w:rPr>
            <w:rStyle w:val="style19"/>
            <w:rFonts w:ascii="Times New Roman" w:cs="Times New Roman" w:hAnsi="Times New Roman"/>
            <w:sz w:val="24"/>
            <w:szCs w:val="24"/>
          </w:rPr>
          <w:t>https://doi.org/10.18359/rlbi.1440</w:t>
        </w:r>
      </w:hyperlink>
    </w:p>
    <w:p>
      <w:pPr>
        <w:pStyle w:val="style0"/>
        <w:shd w:fill="FFFFFF" w:val="clear"/>
        <w:spacing w:after="0" w:before="0" w:line="360" w:lineRule="auto"/>
        <w:jc w:val="both"/>
      </w:pPr>
      <w:r>
        <w:rPr>
          <w:rFonts w:ascii="Times New Roman" w:cs="Times New Roman" w:hAnsi="Times New Roman"/>
          <w:sz w:val="24"/>
          <w:szCs w:val="24"/>
        </w:rPr>
        <w:t xml:space="preserve">-“Ciudadanía y derechos fundamentales de las personas mayores: De las políticas gerontológicas al derecho de la vejez”. DABOVE, </w:t>
      </w:r>
      <w:r>
        <w:rPr>
          <w:rFonts w:ascii="Times New Roman" w:cs="Times New Roman" w:hAnsi="Times New Roman"/>
          <w:color w:val="000000"/>
          <w:sz w:val="24"/>
          <w:szCs w:val="24"/>
        </w:rPr>
        <w:t>María Isolina</w:t>
      </w:r>
      <w:r>
        <w:rPr>
          <w:rFonts w:ascii="Times New Roman" w:cs="Times New Roman" w:hAnsi="Times New Roman"/>
          <w:sz w:val="24"/>
          <w:szCs w:val="24"/>
        </w:rPr>
        <w:t xml:space="preserve"> (2013).  </w:t>
      </w:r>
      <w:r>
        <w:rPr>
          <w:rFonts w:ascii="Times New Roman" w:cs="Times New Roman" w:hAnsi="Times New Roman"/>
          <w:color w:val="000000"/>
          <w:sz w:val="24"/>
          <w:szCs w:val="24"/>
        </w:rPr>
        <w:t>Universidad Nacional de Córdoba; Facultad de Derecho</w:t>
      </w:r>
      <w:r>
        <w:rPr>
          <w:rFonts w:ascii="Times New Roman" w:cs="Times New Roman" w:hAnsi="Times New Roman"/>
          <w:sz w:val="24"/>
          <w:szCs w:val="24"/>
        </w:rPr>
        <w:t xml:space="preserve">, </w:t>
      </w:r>
      <w:hyperlink r:id="rId10">
        <w:r>
          <w:rPr>
            <w:rStyle w:val="style19"/>
            <w:rFonts w:ascii="Times New Roman" w:cs="Times New Roman" w:hAnsi="Times New Roman"/>
            <w:sz w:val="24"/>
            <w:szCs w:val="24"/>
          </w:rPr>
          <w:t xml:space="preserve">Vol. 4, Núm. 1 </w:t>
        </w:r>
      </w:hyperlink>
      <w:r>
        <w:rPr>
          <w:rFonts w:ascii="Times New Roman" w:cs="Times New Roman" w:hAnsi="Times New Roman"/>
          <w:sz w:val="24"/>
          <w:szCs w:val="24"/>
        </w:rPr>
        <w:t xml:space="preserve">. Disponible en </w:t>
      </w:r>
      <w:hyperlink r:id="rId11">
        <w:r>
          <w:rPr>
            <w:rStyle w:val="style19"/>
            <w:rFonts w:ascii="Times New Roman" w:cs="Times New Roman" w:hAnsi="Times New Roman"/>
            <w:sz w:val="24"/>
            <w:szCs w:val="24"/>
          </w:rPr>
          <w:t>https://revistas.unc.edu.ar/index.php/refade/article/view/6008/7081</w:t>
        </w:r>
      </w:hyperlink>
    </w:p>
    <w:p>
      <w:pPr>
        <w:pStyle w:val="style0"/>
        <w:shd w:fill="FFFFFF" w:val="clear"/>
        <w:spacing w:after="0" w:before="0" w:line="360" w:lineRule="auto"/>
        <w:jc w:val="both"/>
      </w:pPr>
      <w:r>
        <w:rPr>
          <w:rFonts w:ascii="Times New Roman" w:cs="Times New Roman" w:hAnsi="Times New Roman"/>
          <w:color w:val="000000"/>
          <w:sz w:val="24"/>
          <w:szCs w:val="24"/>
        </w:rPr>
        <w:t>-Los Principios de las Naciones Unidas en favor de las personas de edad. Resolución 46/91 de la Asamblea General de ONU del 16 de diciembre de 1991. </w:t>
      </w:r>
    </w:p>
    <w:p>
      <w:pPr>
        <w:pStyle w:val="style0"/>
        <w:shd w:fill="FFFFFF" w:val="clear"/>
        <w:spacing w:after="0" w:before="0" w:line="360" w:lineRule="auto"/>
        <w:jc w:val="both"/>
      </w:pPr>
      <w:r>
        <w:rPr>
          <w:rFonts w:ascii="Times New Roman" w:cs="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sz w:val="24"/>
          <w:szCs w:val="24"/>
        </w:rPr>
      </w:r>
    </w:p>
    <w:p>
      <w:pPr>
        <w:pStyle w:val="style0"/>
        <w:shd w:fill="FFFFFF" w:val="clear"/>
        <w:spacing w:after="0" w:before="0" w:line="360" w:lineRule="auto"/>
        <w:jc w:val="both"/>
      </w:pPr>
      <w:r>
        <w:rPr>
          <w:rFonts w:ascii="Times New Roman" w:cs="Times New Roman" w:eastAsia="Times New Roman" w:hAnsi="Times New Roman"/>
          <w:b/>
          <w:iCs/>
          <w:sz w:val="24"/>
          <w:szCs w:val="24"/>
          <w:u w:val="single"/>
        </w:rPr>
        <w:t xml:space="preserve">APROBACIÓN DEL SEMINARIO </w:t>
      </w:r>
    </w:p>
    <w:p>
      <w:pPr>
        <w:pStyle w:val="style0"/>
        <w:shd w:fill="FFFFFF" w:val="clear"/>
        <w:spacing w:after="0" w:before="0" w:line="360" w:lineRule="auto"/>
        <w:jc w:val="both"/>
      </w:pPr>
      <w:r>
        <w:rPr>
          <w:rFonts w:ascii="Times New Roman" w:cs="Times New Roman" w:eastAsia="Times New Roman" w:hAnsi="Times New Roman"/>
          <w:sz w:val="24"/>
          <w:szCs w:val="24"/>
        </w:rPr>
        <w:t xml:space="preserve">A los efectos de la aprobación del mismo, los estudiantes deberán cumplimentar un 75% de asistencia a las clases, y la realización de cuatro (4) trabajos prácticos obligatorios. </w:t>
      </w:r>
    </w:p>
    <w:sectPr>
      <w:headerReference r:id="rId12" w:type="default"/>
      <w:type w:val="nextPage"/>
      <w:pgSz w:h="16838" w:w="11906"/>
      <w:pgMar w:bottom="1417" w:footer="0" w:gutter="0" w:header="284" w:left="1701" w:right="1701" w:top="1843"/>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3"/>
    </w:pPr>
    <w:r>
      <w:rPr/>
      <w:drawing>
        <wp:anchor allowOverlap="1" behindDoc="0" distB="0" distL="0" distR="0" distT="0" layoutInCell="1" locked="0" relativeHeight="0" simplePos="0">
          <wp:simplePos x="0" y="0"/>
          <wp:positionH relativeFrom="character">
            <wp:posOffset>18415</wp:posOffset>
          </wp:positionH>
          <wp:positionV relativeFrom="line">
            <wp:posOffset>0</wp:posOffset>
          </wp:positionV>
          <wp:extent cx="2731770" cy="857885"/>
          <wp:effectExtent b="0" l="0" r="0" t="0"/>
          <wp:wrapSquare wrapText="bothSides"/>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1"/>
                  <a:srcRect/>
                  <a:stretch>
                    <a:fillRect/>
                  </a:stretch>
                </pic:blipFill>
                <pic:spPr bwMode="auto">
                  <a:xfrm>
                    <a:off x="0" y="0"/>
                    <a:ext cx="2731770" cy="85788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Predeterminado"/>
    <w:next w:val="style0"/>
    <w:pPr>
      <w:widowControl/>
      <w:tabs>
        <w:tab w:leader="none" w:pos="708" w:val="left"/>
      </w:tabs>
      <w:suppressAutoHyphens w:val="true"/>
      <w:kinsoku w:val="true"/>
      <w:overflowPunct w:val="true"/>
      <w:autoSpaceDE w:val="true"/>
      <w:spacing w:after="200" w:before="0" w:line="276" w:lineRule="auto"/>
    </w:pPr>
    <w:rPr>
      <w:rFonts w:ascii="Calibri" w:eastAsia="SimSun" w:hAnsi="Calibri"/>
      <w:color w:val="auto"/>
      <w:sz w:val="22"/>
      <w:szCs w:val="22"/>
      <w:lang w:bidi="ar-SA" w:eastAsia="es-AR" w:val="es-AR"/>
    </w:rPr>
  </w:style>
  <w:style w:styleId="style1" w:type="paragraph">
    <w:name w:val="Encabezado 1"/>
    <w:basedOn w:val="style0"/>
    <w:next w:val="style33"/>
    <w:pPr>
      <w:numPr>
        <w:ilvl w:val="0"/>
        <w:numId w:val="1"/>
      </w:numPr>
      <w:spacing w:after="100" w:before="100" w:line="100" w:lineRule="atLeast"/>
      <w:outlineLvl w:val="0"/>
    </w:pPr>
    <w:rPr>
      <w:rFonts w:ascii="Times New Roman" w:cs="Times New Roman" w:eastAsia="Times New Roman" w:hAnsi="Times New Roman"/>
      <w:b/>
      <w:bCs/>
      <w:sz w:val="48"/>
      <w:szCs w:val="48"/>
      <w:lang w:eastAsia="es-ES" w:val="es-ES"/>
    </w:rPr>
  </w:style>
  <w:style w:styleId="style2" w:type="paragraph">
    <w:name w:val="Encabezado 2"/>
    <w:basedOn w:val="style0"/>
    <w:next w:val="style33"/>
    <w:pPr>
      <w:keepNext/>
      <w:keepLines/>
      <w:numPr>
        <w:ilvl w:val="1"/>
        <w:numId w:val="1"/>
      </w:numPr>
      <w:spacing w:after="0" w:before="40"/>
      <w:outlineLvl w:val="1"/>
    </w:pPr>
    <w:rPr>
      <w:rFonts w:ascii="Cambria" w:hAnsi="Cambria"/>
      <w:color w:val="365F91"/>
      <w:sz w:val="26"/>
      <w:szCs w:val="26"/>
    </w:rPr>
  </w:style>
  <w:style w:styleId="style3" w:type="paragraph">
    <w:name w:val="Encabezado 3"/>
    <w:basedOn w:val="style0"/>
    <w:next w:val="style33"/>
    <w:pPr>
      <w:keepNext/>
      <w:keepLines/>
      <w:numPr>
        <w:ilvl w:val="2"/>
        <w:numId w:val="1"/>
      </w:numPr>
      <w:spacing w:after="0" w:before="40"/>
      <w:outlineLvl w:val="2"/>
    </w:pPr>
    <w:rPr>
      <w:rFonts w:ascii="Cambria" w:hAnsi="Cambria"/>
      <w:color w:val="243F60"/>
      <w:sz w:val="24"/>
      <w:szCs w:val="24"/>
    </w:rPr>
  </w:style>
  <w:style w:styleId="style15" w:type="character">
    <w:name w:val="Default Paragraph Font"/>
    <w:next w:val="style15"/>
    <w:rPr/>
  </w:style>
  <w:style w:styleId="style16" w:type="character">
    <w:name w:val="Texto nota pie Car"/>
    <w:basedOn w:val="style15"/>
    <w:next w:val="style16"/>
    <w:rPr>
      <w:sz w:val="20"/>
      <w:szCs w:val="20"/>
    </w:rPr>
  </w:style>
  <w:style w:styleId="style17" w:type="character">
    <w:name w:val="footnote reference"/>
    <w:basedOn w:val="style15"/>
    <w:next w:val="style17"/>
    <w:rPr>
      <w:vertAlign w:val="superscript"/>
    </w:rPr>
  </w:style>
  <w:style w:styleId="style18" w:type="character">
    <w:name w:val="Texto de globo Car"/>
    <w:basedOn w:val="style15"/>
    <w:next w:val="style18"/>
    <w:rPr>
      <w:rFonts w:ascii="Tahoma" w:cs="Tahoma" w:hAnsi="Tahoma"/>
      <w:sz w:val="16"/>
      <w:szCs w:val="16"/>
    </w:rPr>
  </w:style>
  <w:style w:styleId="style19" w:type="character">
    <w:name w:val="Enlace de Internet"/>
    <w:basedOn w:val="style15"/>
    <w:next w:val="style19"/>
    <w:rPr>
      <w:color w:val="0000FF"/>
      <w:u w:val="single"/>
      <w:lang w:bidi="es-ES" w:eastAsia="es-ES" w:val="es-ES"/>
    </w:rPr>
  </w:style>
  <w:style w:styleId="style20" w:type="character">
    <w:name w:val="Unresolved Mention"/>
    <w:basedOn w:val="style15"/>
    <w:next w:val="style20"/>
    <w:rPr>
      <w:color w:val="605E5C"/>
    </w:rPr>
  </w:style>
  <w:style w:styleId="style21" w:type="character">
    <w:name w:val="Destacado"/>
    <w:basedOn w:val="style15"/>
    <w:next w:val="style21"/>
    <w:rPr>
      <w:i/>
      <w:iCs/>
    </w:rPr>
  </w:style>
  <w:style w:styleId="style22" w:type="character">
    <w:name w:val="Título 1 Car"/>
    <w:basedOn w:val="style15"/>
    <w:next w:val="style22"/>
    <w:rPr>
      <w:rFonts w:ascii="Times New Roman" w:cs="Times New Roman" w:eastAsia="Times New Roman" w:hAnsi="Times New Roman"/>
      <w:b/>
      <w:bCs/>
      <w:sz w:val="48"/>
      <w:szCs w:val="48"/>
      <w:lang w:eastAsia="es-ES" w:val="es-ES"/>
    </w:rPr>
  </w:style>
  <w:style w:styleId="style23" w:type="character">
    <w:name w:val="Muy destacado"/>
    <w:basedOn w:val="style15"/>
    <w:next w:val="style23"/>
    <w:rPr>
      <w:b/>
      <w:bCs/>
    </w:rPr>
  </w:style>
  <w:style w:styleId="style24" w:type="character">
    <w:name w:val="Título 2 Car"/>
    <w:basedOn w:val="style15"/>
    <w:next w:val="style24"/>
    <w:rPr>
      <w:rFonts w:ascii="Cambria" w:hAnsi="Cambria"/>
      <w:color w:val="365F91"/>
      <w:sz w:val="26"/>
      <w:szCs w:val="26"/>
    </w:rPr>
  </w:style>
  <w:style w:styleId="style25" w:type="character">
    <w:name w:val="Título 3 Car"/>
    <w:basedOn w:val="style15"/>
    <w:next w:val="style25"/>
    <w:rPr>
      <w:rFonts w:ascii="Cambria" w:hAnsi="Cambria"/>
      <w:color w:val="243F60"/>
      <w:sz w:val="24"/>
      <w:szCs w:val="24"/>
    </w:rPr>
  </w:style>
  <w:style w:styleId="style26" w:type="character">
    <w:name w:val="Título Car"/>
    <w:basedOn w:val="style15"/>
    <w:next w:val="style26"/>
    <w:rPr>
      <w:rFonts w:ascii="Times New Roman" w:cs="Times New Roman" w:eastAsia="Times New Roman" w:hAnsi="Times New Roman"/>
      <w:sz w:val="24"/>
      <w:szCs w:val="24"/>
      <w:lang w:eastAsia="es-ES" w:val="es-ES"/>
    </w:rPr>
  </w:style>
  <w:style w:styleId="style27" w:type="character">
    <w:name w:val="Encabezado Car"/>
    <w:basedOn w:val="style15"/>
    <w:next w:val="style27"/>
    <w:rPr/>
  </w:style>
  <w:style w:styleId="style28" w:type="character">
    <w:name w:val="Pie de página Car"/>
    <w:basedOn w:val="style15"/>
    <w:next w:val="style28"/>
    <w:rPr/>
  </w:style>
  <w:style w:styleId="style29" w:type="character">
    <w:name w:val="ListLabel 1"/>
    <w:next w:val="style29"/>
    <w:rPr>
      <w:rFonts w:cs="Helvetica" w:eastAsia="Times New Roman"/>
    </w:rPr>
  </w:style>
  <w:style w:styleId="style30" w:type="character">
    <w:name w:val="ListLabel 2"/>
    <w:next w:val="style30"/>
    <w:rPr>
      <w:rFonts w:cs="Courier New"/>
    </w:rPr>
  </w:style>
  <w:style w:styleId="style31" w:type="character">
    <w:name w:val="ListLabel 3"/>
    <w:next w:val="style31"/>
    <w:rPr>
      <w:rFonts w:cs="Helvetica" w:eastAsia="Times New Roman"/>
      <w:b w:val="false"/>
      <w:i w:val="false"/>
      <w:u w:val="none"/>
    </w:rPr>
  </w:style>
  <w:style w:styleId="style32" w:type="paragraph">
    <w:name w:val="Encabezado"/>
    <w:basedOn w:val="style0"/>
    <w:next w:val="style33"/>
    <w:pPr>
      <w:keepNext/>
      <w:spacing w:after="120" w:before="240"/>
    </w:pPr>
    <w:rPr>
      <w:rFonts w:ascii="Arial" w:cs="Arial" w:eastAsia="Microsoft YaHei" w:hAnsi="Arial"/>
      <w:sz w:val="28"/>
      <w:szCs w:val="28"/>
    </w:rPr>
  </w:style>
  <w:style w:styleId="style33" w:type="paragraph">
    <w:name w:val="Cuerpo de texto"/>
    <w:basedOn w:val="style0"/>
    <w:next w:val="style33"/>
    <w:pPr>
      <w:spacing w:after="120" w:before="0"/>
    </w:pPr>
    <w:rPr/>
  </w:style>
  <w:style w:styleId="style34" w:type="paragraph">
    <w:name w:val="Lista"/>
    <w:basedOn w:val="style33"/>
    <w:next w:val="style34"/>
    <w:pPr/>
    <w:rPr>
      <w:rFonts w:cs="Arial"/>
    </w:rPr>
  </w:style>
  <w:style w:styleId="style35" w:type="paragraph">
    <w:name w:val="Etiqueta"/>
    <w:basedOn w:val="style0"/>
    <w:next w:val="style35"/>
    <w:pPr>
      <w:suppressLineNumbers/>
      <w:spacing w:after="120" w:before="120"/>
    </w:pPr>
    <w:rPr>
      <w:rFonts w:cs="Arial"/>
      <w:i/>
      <w:iCs/>
      <w:sz w:val="24"/>
      <w:szCs w:val="24"/>
    </w:rPr>
  </w:style>
  <w:style w:styleId="style36" w:type="paragraph">
    <w:name w:val="Índice"/>
    <w:basedOn w:val="style0"/>
    <w:next w:val="style36"/>
    <w:pPr>
      <w:suppressLineNumbers/>
    </w:pPr>
    <w:rPr>
      <w:rFonts w:cs="Arial"/>
    </w:rPr>
  </w:style>
  <w:style w:styleId="style37" w:type="paragraph">
    <w:name w:val="List Paragraph"/>
    <w:basedOn w:val="style0"/>
    <w:next w:val="style37"/>
    <w:pPr>
      <w:ind w:hanging="0" w:left="720" w:right="0"/>
    </w:pPr>
    <w:rPr/>
  </w:style>
  <w:style w:styleId="style38" w:type="paragraph">
    <w:name w:val="footnote text"/>
    <w:basedOn w:val="style0"/>
    <w:next w:val="style38"/>
    <w:pPr>
      <w:spacing w:after="0" w:before="0" w:line="100" w:lineRule="atLeast"/>
    </w:pPr>
    <w:rPr>
      <w:sz w:val="20"/>
      <w:szCs w:val="20"/>
    </w:rPr>
  </w:style>
  <w:style w:styleId="style39" w:type="paragraph">
    <w:name w:val="Balloon Text"/>
    <w:basedOn w:val="style0"/>
    <w:next w:val="style39"/>
    <w:pPr>
      <w:spacing w:after="0" w:before="0" w:line="100" w:lineRule="atLeast"/>
    </w:pPr>
    <w:rPr>
      <w:rFonts w:ascii="Tahoma" w:cs="Tahoma" w:hAnsi="Tahoma"/>
      <w:sz w:val="16"/>
      <w:szCs w:val="16"/>
    </w:rPr>
  </w:style>
  <w:style w:styleId="style40" w:type="paragraph">
    <w:name w:val="Normal (Web)"/>
    <w:basedOn w:val="style0"/>
    <w:next w:val="style40"/>
    <w:pPr>
      <w:spacing w:after="100" w:before="100" w:line="100" w:lineRule="atLeast"/>
    </w:pPr>
    <w:rPr>
      <w:rFonts w:ascii="Times New Roman" w:cs="Times New Roman" w:eastAsia="Times New Roman" w:hAnsi="Times New Roman"/>
      <w:sz w:val="24"/>
      <w:szCs w:val="24"/>
      <w:lang w:eastAsia="es-ES" w:val="es-ES"/>
    </w:rPr>
  </w:style>
  <w:style w:styleId="style41" w:type="paragraph">
    <w:name w:val="Título"/>
    <w:basedOn w:val="style0"/>
    <w:next w:val="style42"/>
    <w:pPr>
      <w:spacing w:after="100" w:before="100" w:line="100" w:lineRule="atLeast"/>
      <w:jc w:val="left"/>
    </w:pPr>
    <w:rPr>
      <w:rFonts w:ascii="Times New Roman" w:cs="Times New Roman" w:eastAsia="Times New Roman" w:hAnsi="Times New Roman"/>
      <w:b/>
      <w:bCs/>
      <w:sz w:val="24"/>
      <w:szCs w:val="24"/>
      <w:lang w:eastAsia="es-ES" w:val="es-ES"/>
    </w:rPr>
  </w:style>
  <w:style w:styleId="style42" w:type="paragraph">
    <w:name w:val="Subtítulo"/>
    <w:basedOn w:val="style32"/>
    <w:next w:val="style33"/>
    <w:pPr>
      <w:jc w:val="center"/>
    </w:pPr>
    <w:rPr>
      <w:i/>
      <w:iCs/>
      <w:sz w:val="28"/>
      <w:szCs w:val="28"/>
    </w:rPr>
  </w:style>
  <w:style w:styleId="style43" w:type="paragraph">
    <w:name w:val="Encabezamiento"/>
    <w:basedOn w:val="style0"/>
    <w:next w:val="style43"/>
    <w:pPr>
      <w:suppressLineNumbers/>
      <w:tabs>
        <w:tab w:leader="none" w:pos="4252" w:val="center"/>
        <w:tab w:leader="none" w:pos="8504" w:val="right"/>
      </w:tabs>
      <w:spacing w:after="0" w:before="0" w:line="100" w:lineRule="atLeast"/>
    </w:pPr>
    <w:rPr/>
  </w:style>
  <w:style w:styleId="style44" w:type="paragraph">
    <w:name w:val="Pie de página"/>
    <w:basedOn w:val="style0"/>
    <w:next w:val="style44"/>
    <w:pPr>
      <w:suppressLineNumbers/>
      <w:tabs>
        <w:tab w:leader="none" w:pos="4252" w:val="center"/>
        <w:tab w:leader="none" w:pos="8504"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rechoshumanos.unlp.edu.ar/assets/files/documentos/el-concepto-de-derechos-humanos.pdf" TargetMode="External"/><Relationship Id="rId3" Type="http://schemas.openxmlformats.org/officeDocument/2006/relationships/hyperlink" Target="http://capacitacion.hcdn.gob.ar/wp-content/uploads/2016/08/Cuadernillo-Introducci&#243;n-ddhh-final.pdf" TargetMode="External"/><Relationship Id="rId4" Type="http://schemas.openxmlformats.org/officeDocument/2006/relationships/hyperlink" Target="https://www.desarrollosocial.gob.ar/wp-content/uploads/2015/05/Sistemasde-Proteccion-Integral-de-Derechos-en-el-Ambito-Local.1.pdf" TargetMode="External"/><Relationship Id="rId5" Type="http://schemas.openxmlformats.org/officeDocument/2006/relationships/hyperlink" Target="http://thomsonreuterslatam.com/2016/03/la-mujer-en-el-codigo-civil-y-comercial-autor-medina-graciela/" TargetMode="External"/><Relationship Id="rId6" Type="http://schemas.openxmlformats.org/officeDocument/2006/relationships/hyperlink" Target="http://www.oas.org/es/mesecvi/docs/bdp-guiaaplicacion-web-es.pdf" TargetMode="External"/><Relationship Id="rId7" Type="http://schemas.openxmlformats.org/officeDocument/2006/relationships/hyperlink" Target="http://www.elderecho.com.ar/includes/pdf/diarios/2016/02/25022016.pdf" TargetMode="External"/><Relationship Id="rId8" Type="http://schemas.openxmlformats.org/officeDocument/2006/relationships/hyperlink" Target="https://repositorio.cepal.org/bitstream/handle/11362/1467/S301435D4312012_es.pdf;jsessionid=6032EB69AA44EA5544795891B4F9DEA8?sequence=1" TargetMode="External"/><Relationship Id="rId9" Type="http://schemas.openxmlformats.org/officeDocument/2006/relationships/hyperlink" Target="https://doi.org/10.18359/rlbi.1440" TargetMode="External"/><Relationship Id="rId10" Type="http://schemas.openxmlformats.org/officeDocument/2006/relationships/hyperlink" Target="https://revistas.unc.edu.ar/index.php/refade/issue/view/512" TargetMode="External"/><Relationship Id="rId11" Type="http://schemas.openxmlformats.org/officeDocument/2006/relationships/hyperlink" Target="https://revistas.unc.edu.ar/index.php/refade/article/view/6008/7081"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LibreOffice/3.5$Windows_x86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2019-09-12T15:18:00.00Z</dcterms:created>
  <dc:creator>Federico Ambroggio</dc:creator>
  <cp:lastPrinted>2016-07-05T15:53:00.00Z</cp:lastPrinted>
  <dcterms:modified xsi:type="dcterms:W3CDTF">2019-09-25T10:15:16.38Z</dcterms:modified>
  <cp:revision>3</cp:revision>
</cp:coreProperties>
</file>